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3110" w14:textId="09578EE1" w:rsidR="000720F5" w:rsidRDefault="000720F5" w:rsidP="000720F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28938B" wp14:editId="50408639">
            <wp:simplePos x="0" y="0"/>
            <wp:positionH relativeFrom="margin">
              <wp:align>right</wp:align>
            </wp:positionH>
            <wp:positionV relativeFrom="margin">
              <wp:posOffset>-302260</wp:posOffset>
            </wp:positionV>
            <wp:extent cx="5759450" cy="1066165"/>
            <wp:effectExtent l="0" t="0" r="0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20089" w14:textId="357B4364" w:rsidR="003758CC" w:rsidRPr="003758CC" w:rsidRDefault="003758CC" w:rsidP="005C2C62">
      <w:pPr>
        <w:jc w:val="center"/>
        <w:rPr>
          <w:b/>
        </w:rPr>
      </w:pPr>
      <w:r w:rsidRPr="003758CC">
        <w:rPr>
          <w:b/>
        </w:rPr>
        <w:t xml:space="preserve">Stanowisko </w:t>
      </w:r>
    </w:p>
    <w:p w14:paraId="0BFB64E9" w14:textId="77777777" w:rsidR="003758CC" w:rsidRPr="003758CC" w:rsidRDefault="003758CC" w:rsidP="005C2C62">
      <w:pPr>
        <w:jc w:val="center"/>
        <w:rPr>
          <w:b/>
        </w:rPr>
      </w:pPr>
      <w:r w:rsidRPr="003758CC">
        <w:rPr>
          <w:b/>
        </w:rPr>
        <w:t>Zgromadzenia Ogólnego</w:t>
      </w:r>
    </w:p>
    <w:p w14:paraId="465AE9A7" w14:textId="77777777" w:rsidR="003758CC" w:rsidRPr="003758CC" w:rsidRDefault="003758CC" w:rsidP="005C2C62">
      <w:pPr>
        <w:jc w:val="center"/>
        <w:rPr>
          <w:b/>
        </w:rPr>
      </w:pPr>
      <w:r w:rsidRPr="003758CC">
        <w:rPr>
          <w:b/>
        </w:rPr>
        <w:t xml:space="preserve">Śląskiego Związku Gmin i Powiatów </w:t>
      </w:r>
    </w:p>
    <w:p w14:paraId="09B44EBA" w14:textId="49DDD363" w:rsidR="000F4A63" w:rsidRPr="003758CC" w:rsidRDefault="003758CC" w:rsidP="005C2C62">
      <w:pPr>
        <w:jc w:val="center"/>
        <w:rPr>
          <w:b/>
        </w:rPr>
      </w:pPr>
      <w:r w:rsidRPr="003758CC">
        <w:rPr>
          <w:b/>
        </w:rPr>
        <w:t>z dnia 9 grudnia 2022 r. (</w:t>
      </w:r>
      <w:r w:rsidR="009C7C58" w:rsidRPr="009C7C58">
        <w:rPr>
          <w:b/>
        </w:rPr>
        <w:t>LIV</w:t>
      </w:r>
      <w:r w:rsidRPr="003758CC">
        <w:rPr>
          <w:b/>
        </w:rPr>
        <w:t xml:space="preserve"> sesja)</w:t>
      </w:r>
    </w:p>
    <w:p w14:paraId="1949D093" w14:textId="77777777" w:rsidR="00082B12" w:rsidRPr="003758CC" w:rsidRDefault="00082B12" w:rsidP="005C2C62">
      <w:pPr>
        <w:spacing w:after="200"/>
        <w:jc w:val="both"/>
        <w:rPr>
          <w:b/>
        </w:rPr>
      </w:pPr>
    </w:p>
    <w:p w14:paraId="61B3862A" w14:textId="294D0CF7" w:rsidR="00846527" w:rsidRPr="005C2C62" w:rsidRDefault="00FF7F79" w:rsidP="005C2C62">
      <w:pPr>
        <w:spacing w:after="200"/>
        <w:ind w:left="1418" w:hanging="1418"/>
        <w:jc w:val="both"/>
        <w:rPr>
          <w:b/>
          <w:bCs/>
          <w:color w:val="000000"/>
        </w:rPr>
      </w:pPr>
      <w:r w:rsidRPr="003758CC">
        <w:rPr>
          <w:b/>
        </w:rPr>
        <w:t>w sprawie:</w:t>
      </w:r>
      <w:r w:rsidR="009420E6" w:rsidRPr="003758CC">
        <w:rPr>
          <w:b/>
        </w:rPr>
        <w:tab/>
      </w:r>
      <w:r w:rsidR="003758CC" w:rsidRPr="003758CC">
        <w:rPr>
          <w:b/>
          <w:bCs/>
          <w:color w:val="000000"/>
        </w:rPr>
        <w:t xml:space="preserve">potrzeby </w:t>
      </w:r>
      <w:r w:rsidR="00A2561A">
        <w:rPr>
          <w:b/>
          <w:bCs/>
          <w:color w:val="000000"/>
        </w:rPr>
        <w:t>w</w:t>
      </w:r>
      <w:r w:rsidR="00807E41" w:rsidRPr="003758CC">
        <w:rPr>
          <w:b/>
          <w:bCs/>
          <w:color w:val="000000"/>
        </w:rPr>
        <w:t>prowadzeni</w:t>
      </w:r>
      <w:r w:rsidR="003758CC" w:rsidRPr="003758CC">
        <w:rPr>
          <w:b/>
          <w:bCs/>
          <w:color w:val="000000"/>
        </w:rPr>
        <w:t>a</w:t>
      </w:r>
      <w:r w:rsidR="00807E41" w:rsidRPr="003758CC">
        <w:rPr>
          <w:b/>
          <w:bCs/>
          <w:color w:val="000000"/>
        </w:rPr>
        <w:t xml:space="preserve"> zmian prawnych w systemie ewidencjonowania ludności</w:t>
      </w:r>
    </w:p>
    <w:p w14:paraId="029055D1" w14:textId="0BAC45CE" w:rsidR="005A786F" w:rsidRPr="003758CC" w:rsidRDefault="009420E6" w:rsidP="005C2C62">
      <w:pPr>
        <w:tabs>
          <w:tab w:val="right" w:pos="-1080"/>
          <w:tab w:val="left" w:pos="0"/>
          <w:tab w:val="left" w:pos="567"/>
        </w:tabs>
        <w:spacing w:after="200"/>
        <w:jc w:val="both"/>
      </w:pPr>
      <w:r w:rsidRPr="003758CC">
        <w:tab/>
      </w:r>
      <w:r w:rsidR="003758CC" w:rsidRPr="003758CC">
        <w:t>Zgromadzenie Ogólne Śląskiego Związku Gmin i Powiatów</w:t>
      </w:r>
      <w:r w:rsidR="00F43392">
        <w:t xml:space="preserve">, zrzeszającego 154 </w:t>
      </w:r>
      <w:proofErr w:type="spellStart"/>
      <w:r w:rsidR="00F43392">
        <w:t>jst</w:t>
      </w:r>
      <w:proofErr w:type="spellEnd"/>
      <w:r w:rsidR="00F43392">
        <w:t xml:space="preserve"> z terenu województwa śląskiego</w:t>
      </w:r>
      <w:r w:rsidR="003758CC" w:rsidRPr="003758CC">
        <w:t xml:space="preserve"> </w:t>
      </w:r>
      <w:r w:rsidR="00DC2E91" w:rsidRPr="003758CC">
        <w:t>zwraca uwagę, że k</w:t>
      </w:r>
      <w:r w:rsidR="005A786F" w:rsidRPr="003758CC">
        <w:t xml:space="preserve">oniecznie jest </w:t>
      </w:r>
      <w:r w:rsidR="00F1717D" w:rsidRPr="003758CC">
        <w:t>opracowani</w:t>
      </w:r>
      <w:r w:rsidR="002321BD" w:rsidRPr="003758CC">
        <w:t>e</w:t>
      </w:r>
      <w:r w:rsidR="00F1717D" w:rsidRPr="003758CC">
        <w:t xml:space="preserve"> </w:t>
      </w:r>
      <w:r w:rsidR="002321BD" w:rsidRPr="003758CC">
        <w:t xml:space="preserve">i przyjęcie </w:t>
      </w:r>
      <w:r w:rsidR="005A786F" w:rsidRPr="003758CC">
        <w:t>regulacji prawnych normujących zasady postępowania w zakresie przedstawionych poniżej kwestii</w:t>
      </w:r>
      <w:r w:rsidR="00F43392">
        <w:t xml:space="preserve"> dotyczących ewidencjonowania ludności.</w:t>
      </w:r>
    </w:p>
    <w:p w14:paraId="455E84CD" w14:textId="705697AA" w:rsidR="00805152" w:rsidRPr="00744CFF" w:rsidRDefault="00414644" w:rsidP="005C2C62">
      <w:pPr>
        <w:tabs>
          <w:tab w:val="right" w:pos="-1080"/>
          <w:tab w:val="left" w:pos="0"/>
          <w:tab w:val="left" w:pos="567"/>
        </w:tabs>
        <w:spacing w:after="200"/>
        <w:jc w:val="both"/>
        <w:rPr>
          <w:color w:val="333333"/>
          <w:shd w:val="clear" w:color="auto" w:fill="FFFFFF"/>
        </w:rPr>
      </w:pPr>
      <w:r w:rsidRPr="003758CC">
        <w:rPr>
          <w:color w:val="333333"/>
          <w:shd w:val="clear" w:color="auto" w:fill="FFFFFF"/>
        </w:rPr>
        <w:tab/>
        <w:t>Zgodnie z </w:t>
      </w:r>
      <w:r w:rsidRPr="003758CC">
        <w:rPr>
          <w:shd w:val="clear" w:color="auto" w:fill="FFFFFF"/>
        </w:rPr>
        <w:t>art. 24 ust. 1</w:t>
      </w:r>
      <w:r w:rsidR="00604C19" w:rsidRPr="003758CC">
        <w:rPr>
          <w:color w:val="333333"/>
          <w:shd w:val="clear" w:color="auto" w:fill="FFFFFF"/>
        </w:rPr>
        <w:t xml:space="preserve"> </w:t>
      </w:r>
      <w:r w:rsidR="00474456" w:rsidRPr="003758CC">
        <w:rPr>
          <w:color w:val="333333"/>
          <w:shd w:val="clear" w:color="auto" w:fill="FFFFFF"/>
        </w:rPr>
        <w:t xml:space="preserve">ustawy o ewidencji </w:t>
      </w:r>
      <w:r w:rsidR="00E2154E" w:rsidRPr="003758CC">
        <w:rPr>
          <w:color w:val="333333"/>
          <w:shd w:val="clear" w:color="auto" w:fill="FFFFFF"/>
        </w:rPr>
        <w:t>ludności</w:t>
      </w:r>
      <w:r w:rsidR="00474456" w:rsidRPr="003758CC">
        <w:rPr>
          <w:color w:val="333333"/>
          <w:shd w:val="clear" w:color="auto" w:fill="FFFFFF"/>
        </w:rPr>
        <w:t xml:space="preserve"> </w:t>
      </w:r>
      <w:r w:rsidRPr="003758CC">
        <w:rPr>
          <w:color w:val="333333"/>
          <w:shd w:val="clear" w:color="auto" w:fill="FFFFFF"/>
        </w:rPr>
        <w:t>każdy obywatel polski przebywający na terytorium Rzeczypospolitej Polskiej jest zobowiązany do spełnienia obowiązku meldunkowego, który w myśl ust. 2 tego przepisu, polega na zameldowaniu albo wymeldowaniu się w miejscu pobytu stałego lub czasowego,</w:t>
      </w:r>
      <w:r w:rsidR="003758CC">
        <w:rPr>
          <w:color w:val="333333"/>
          <w:shd w:val="clear" w:color="auto" w:fill="FFFFFF"/>
        </w:rPr>
        <w:t xml:space="preserve"> </w:t>
      </w:r>
      <w:r w:rsidR="00EC6ED4" w:rsidRPr="003758CC">
        <w:rPr>
          <w:color w:val="333333"/>
          <w:shd w:val="clear" w:color="auto" w:fill="FFFFFF"/>
        </w:rPr>
        <w:t>a także zgłoszeniu wyjazdu poza granice kraju oraz jego powrotu.</w:t>
      </w:r>
    </w:p>
    <w:p w14:paraId="2F8A75A9" w14:textId="762F368C" w:rsidR="00805152" w:rsidRPr="00744CFF" w:rsidRDefault="00414644" w:rsidP="005C2C62">
      <w:pPr>
        <w:tabs>
          <w:tab w:val="right" w:pos="-1080"/>
          <w:tab w:val="left" w:pos="0"/>
          <w:tab w:val="left" w:pos="567"/>
        </w:tabs>
        <w:spacing w:after="200"/>
        <w:jc w:val="both"/>
        <w:rPr>
          <w:color w:val="333333"/>
          <w:shd w:val="clear" w:color="auto" w:fill="FFFFFF"/>
        </w:rPr>
      </w:pPr>
      <w:r w:rsidRPr="003758CC">
        <w:rPr>
          <w:color w:val="333333"/>
          <w:shd w:val="clear" w:color="auto" w:fill="FFFFFF"/>
        </w:rPr>
        <w:tab/>
        <w:t>Podkreślić należy, że w</w:t>
      </w:r>
      <w:r w:rsidR="00805152" w:rsidRPr="003758CC">
        <w:rPr>
          <w:color w:val="333333"/>
          <w:shd w:val="clear" w:color="auto" w:fill="FFFFFF"/>
        </w:rPr>
        <w:t xml:space="preserve"> obecnym stanie prawnym instytucja zameldowania ma wyłącznie charakter rejestracyjny. Wynika to wyraźnie z </w:t>
      </w:r>
      <w:r w:rsidR="00805152" w:rsidRPr="003758CC">
        <w:rPr>
          <w:shd w:val="clear" w:color="auto" w:fill="FFFFFF"/>
        </w:rPr>
        <w:t>art. 28 ust. 4</w:t>
      </w:r>
      <w:r w:rsidR="00805152" w:rsidRPr="003758CC">
        <w:rPr>
          <w:color w:val="333333"/>
          <w:shd w:val="clear" w:color="auto" w:fill="FFFFFF"/>
        </w:rPr>
        <w:t> </w:t>
      </w:r>
      <w:r w:rsidR="00604C19" w:rsidRPr="003758CC">
        <w:rPr>
          <w:color w:val="333333"/>
          <w:shd w:val="clear" w:color="auto" w:fill="FFFFFF"/>
        </w:rPr>
        <w:t>ustawy o ewidencji ludności</w:t>
      </w:r>
      <w:r w:rsidR="00805152" w:rsidRPr="003758CC">
        <w:rPr>
          <w:color w:val="333333"/>
          <w:shd w:val="clear" w:color="auto" w:fill="FFFFFF"/>
        </w:rPr>
        <w:t>, w</w:t>
      </w:r>
      <w:r w:rsidR="006903A0">
        <w:rPr>
          <w:color w:val="333333"/>
          <w:shd w:val="clear" w:color="auto" w:fill="FFFFFF"/>
        </w:rPr>
        <w:t> </w:t>
      </w:r>
      <w:r w:rsidR="00805152" w:rsidRPr="003758CC">
        <w:rPr>
          <w:color w:val="333333"/>
          <w:shd w:val="clear" w:color="auto" w:fill="FFFFFF"/>
        </w:rPr>
        <w:t>którym ustawodawca określił cel zameldowania, zarówno na pobyt stały lub czasowy, stwierdzając, iż służy ono wyłącznie celom ewidencyjnym i potwierdzeniu faktu pobytu osoby w miejscu, w którym się zameldowała. Przedmiotem rejestru jest jedynie „przebywanie” w</w:t>
      </w:r>
      <w:r w:rsidR="006903A0">
        <w:rPr>
          <w:color w:val="333333"/>
          <w:shd w:val="clear" w:color="auto" w:fill="FFFFFF"/>
        </w:rPr>
        <w:t> </w:t>
      </w:r>
      <w:r w:rsidR="00805152" w:rsidRPr="003758CC">
        <w:rPr>
          <w:color w:val="333333"/>
          <w:shd w:val="clear" w:color="auto" w:fill="FFFFFF"/>
        </w:rPr>
        <w:t>lokalu, a nie „uprawnienie” do lokalu, zaś ewidencja ludności służy zbieraniu informacji w</w:t>
      </w:r>
      <w:r w:rsidR="006903A0">
        <w:rPr>
          <w:color w:val="333333"/>
          <w:shd w:val="clear" w:color="auto" w:fill="FFFFFF"/>
        </w:rPr>
        <w:t> </w:t>
      </w:r>
      <w:r w:rsidR="00805152" w:rsidRPr="003758CC">
        <w:rPr>
          <w:color w:val="333333"/>
          <w:shd w:val="clear" w:color="auto" w:fill="FFFFFF"/>
        </w:rPr>
        <w:t>zakresie danych o miejscu zamieszkania i pobytu osób, a więc rejestracji stanu faktycznego, a nie stanu prawnego. Nie jest ona formą kontroli legalności zamieszkania i pobytu (por. wyr. WSA w Gliwicach z 23.10.2017 r., </w:t>
      </w:r>
      <w:r w:rsidR="00805152" w:rsidRPr="003758CC">
        <w:rPr>
          <w:shd w:val="clear" w:color="auto" w:fill="FFFFFF"/>
        </w:rPr>
        <w:t>II SA/</w:t>
      </w:r>
      <w:proofErr w:type="spellStart"/>
      <w:r w:rsidR="00805152" w:rsidRPr="003758CC">
        <w:rPr>
          <w:shd w:val="clear" w:color="auto" w:fill="FFFFFF"/>
        </w:rPr>
        <w:t>Gl</w:t>
      </w:r>
      <w:proofErr w:type="spellEnd"/>
      <w:r w:rsidR="00805152" w:rsidRPr="003758CC">
        <w:rPr>
          <w:shd w:val="clear" w:color="auto" w:fill="FFFFFF"/>
        </w:rPr>
        <w:t xml:space="preserve"> 493/17</w:t>
      </w:r>
      <w:r w:rsidR="00805152" w:rsidRPr="003758CC">
        <w:rPr>
          <w:color w:val="333333"/>
          <w:shd w:val="clear" w:color="auto" w:fill="FFFFFF"/>
        </w:rPr>
        <w:t xml:space="preserve">, </w:t>
      </w:r>
      <w:proofErr w:type="spellStart"/>
      <w:r w:rsidR="00805152" w:rsidRPr="003758CC">
        <w:rPr>
          <w:color w:val="333333"/>
          <w:shd w:val="clear" w:color="auto" w:fill="FFFFFF"/>
        </w:rPr>
        <w:t>Legalis</w:t>
      </w:r>
      <w:proofErr w:type="spellEnd"/>
      <w:r w:rsidR="00805152" w:rsidRPr="003758CC">
        <w:rPr>
          <w:color w:val="333333"/>
          <w:shd w:val="clear" w:color="auto" w:fill="FFFFFF"/>
        </w:rPr>
        <w:t>).</w:t>
      </w:r>
    </w:p>
    <w:p w14:paraId="58D3818F" w14:textId="5F09593A" w:rsidR="00805152" w:rsidRPr="003758CC" w:rsidRDefault="00474456" w:rsidP="005C2C62">
      <w:pPr>
        <w:spacing w:after="200"/>
        <w:ind w:firstLine="567"/>
        <w:jc w:val="both"/>
        <w:rPr>
          <w:color w:val="000000"/>
        </w:rPr>
      </w:pPr>
      <w:r w:rsidRPr="003758CC">
        <w:rPr>
          <w:color w:val="333333"/>
          <w:shd w:val="clear" w:color="auto" w:fill="FFFFFF"/>
        </w:rPr>
        <w:t>Ustawodawca nie uzależnia członkostwa we wspólnocie samorządowej od spełnienia warunku zameldowania lecz zamieszkania. Aby określona miejscowość została uznana za miejsce zamieszkania osoby fizycznej, konieczne jest łączne występowanie dwóch elementów: zamiaru stałego pobytu oraz faktycznego przebywania w danej miejscowości, która stanowić musi rzeczywiste centrum aktywności życiowej jednostki. Zameldowanie służy wyłącznie celom ewidencyjnym</w:t>
      </w:r>
      <w:r w:rsidR="00EA29DA" w:rsidRPr="00EA29DA">
        <w:rPr>
          <w:shd w:val="clear" w:color="auto" w:fill="FFFFFF"/>
        </w:rPr>
        <w:t xml:space="preserve"> </w:t>
      </w:r>
      <w:r w:rsidR="00B37651" w:rsidRPr="00EA29DA">
        <w:rPr>
          <w:shd w:val="clear" w:color="auto" w:fill="FFFFFF"/>
        </w:rPr>
        <w:t xml:space="preserve">i </w:t>
      </w:r>
      <w:r w:rsidRPr="003758CC">
        <w:rPr>
          <w:color w:val="333333"/>
          <w:shd w:val="clear" w:color="auto" w:fill="FFFFFF"/>
        </w:rPr>
        <w:t xml:space="preserve">nie przesądza o miejscu zamieszkania w rozumieniu prawa cywilnego. </w:t>
      </w:r>
    </w:p>
    <w:p w14:paraId="4FBD79BC" w14:textId="7D3EBA74" w:rsidR="005D4524" w:rsidRPr="003758CC" w:rsidRDefault="00A24A1B" w:rsidP="005C2C62">
      <w:pPr>
        <w:spacing w:after="200"/>
        <w:ind w:firstLine="567"/>
        <w:jc w:val="both"/>
        <w:rPr>
          <w:color w:val="000000"/>
        </w:rPr>
      </w:pPr>
      <w:r w:rsidRPr="003758CC">
        <w:rPr>
          <w:color w:val="000000"/>
        </w:rPr>
        <w:t>Należy zwrócić</w:t>
      </w:r>
      <w:r w:rsidR="00805152" w:rsidRPr="003758CC">
        <w:rPr>
          <w:color w:val="000000"/>
        </w:rPr>
        <w:t xml:space="preserve"> uwagę</w:t>
      </w:r>
      <w:r w:rsidR="00322C29" w:rsidRPr="003758CC">
        <w:rPr>
          <w:color w:val="000000"/>
        </w:rPr>
        <w:t xml:space="preserve"> </w:t>
      </w:r>
      <w:r w:rsidRPr="003758CC">
        <w:rPr>
          <w:color w:val="000000"/>
        </w:rPr>
        <w:t xml:space="preserve">na fakt, </w:t>
      </w:r>
      <w:r w:rsidR="00322C29" w:rsidRPr="003758CC">
        <w:rPr>
          <w:color w:val="000000"/>
        </w:rPr>
        <w:t>że</w:t>
      </w:r>
      <w:r w:rsidR="00805152" w:rsidRPr="003758CC">
        <w:rPr>
          <w:color w:val="000000"/>
        </w:rPr>
        <w:t xml:space="preserve"> </w:t>
      </w:r>
      <w:r w:rsidR="0082660F" w:rsidRPr="003758CC">
        <w:rPr>
          <w:color w:val="000000"/>
        </w:rPr>
        <w:t xml:space="preserve">nałożony </w:t>
      </w:r>
      <w:r w:rsidR="00805152" w:rsidRPr="003758CC">
        <w:rPr>
          <w:color w:val="000000"/>
        </w:rPr>
        <w:t>ustaw</w:t>
      </w:r>
      <w:r w:rsidR="0082660F" w:rsidRPr="003758CC">
        <w:rPr>
          <w:color w:val="000000"/>
        </w:rPr>
        <w:t>ą</w:t>
      </w:r>
      <w:r w:rsidR="00805152" w:rsidRPr="003758CC">
        <w:rPr>
          <w:color w:val="000000"/>
        </w:rPr>
        <w:t xml:space="preserve"> o ewidencji ludności, obowiązek meldunkowy to przepis bez sankcji, bo</w:t>
      </w:r>
      <w:r w:rsidR="0082660F" w:rsidRPr="003758CC">
        <w:rPr>
          <w:color w:val="000000"/>
        </w:rPr>
        <w:t>wiem</w:t>
      </w:r>
      <w:r w:rsidR="00805152" w:rsidRPr="003758CC">
        <w:rPr>
          <w:color w:val="000000"/>
        </w:rPr>
        <w:t xml:space="preserve"> brak </w:t>
      </w:r>
      <w:r w:rsidR="0082660F" w:rsidRPr="003758CC">
        <w:rPr>
          <w:color w:val="000000"/>
        </w:rPr>
        <w:t xml:space="preserve">jego </w:t>
      </w:r>
      <w:r w:rsidR="00805152" w:rsidRPr="003758CC">
        <w:rPr>
          <w:color w:val="000000"/>
        </w:rPr>
        <w:t>wypełnienia nie wiąże się z</w:t>
      </w:r>
      <w:r w:rsidR="00517C01">
        <w:rPr>
          <w:color w:val="000000"/>
        </w:rPr>
        <w:t> </w:t>
      </w:r>
      <w:r w:rsidR="00805152" w:rsidRPr="003758CC">
        <w:rPr>
          <w:color w:val="000000"/>
        </w:rPr>
        <w:t xml:space="preserve">konsekwencjami wobec obywateli. </w:t>
      </w:r>
      <w:r w:rsidR="006903A0" w:rsidRPr="00D66AF9">
        <w:t xml:space="preserve">Z dniem </w:t>
      </w:r>
      <w:r w:rsidR="00805152" w:rsidRPr="003758CC">
        <w:rPr>
          <w:color w:val="000000"/>
        </w:rPr>
        <w:t>1 stycznia 2013 r. uchylono art. 147 Kodeksu wykroczeń, który przewidywał sankcję karną za niedopełnienie obowiązku meldunkowego.</w:t>
      </w:r>
      <w:r w:rsidR="00474456" w:rsidRPr="003758CC">
        <w:rPr>
          <w:color w:val="000000"/>
        </w:rPr>
        <w:t xml:space="preserve"> </w:t>
      </w:r>
      <w:r w:rsidR="00F2466E" w:rsidRPr="003758CC">
        <w:rPr>
          <w:color w:val="000000"/>
        </w:rPr>
        <w:t>Również</w:t>
      </w:r>
      <w:r w:rsidR="00474456" w:rsidRPr="003758CC">
        <w:rPr>
          <w:color w:val="000000"/>
        </w:rPr>
        <w:t xml:space="preserve"> </w:t>
      </w:r>
      <w:r w:rsidR="00474456" w:rsidRPr="003758CC">
        <w:rPr>
          <w:color w:val="333333"/>
          <w:shd w:val="clear" w:color="auto" w:fill="FFFFFF"/>
        </w:rPr>
        <w:t xml:space="preserve">niedopełnienie </w:t>
      </w:r>
      <w:r w:rsidR="00E2154E" w:rsidRPr="003758CC">
        <w:rPr>
          <w:color w:val="333333"/>
          <w:shd w:val="clear" w:color="auto" w:fill="FFFFFF"/>
        </w:rPr>
        <w:t>o</w:t>
      </w:r>
      <w:r w:rsidR="00474456" w:rsidRPr="003758CC">
        <w:rPr>
          <w:color w:val="333333"/>
          <w:shd w:val="clear" w:color="auto" w:fill="FFFFFF"/>
        </w:rPr>
        <w:t>bowiązku meldunkowego określonego w art. 24 ust. 1 ustawy z dnia 24 września 2010 r. o ewidencji ludności nie oznacza, że dana osoba fizyczna w określonym miejscu nie zamieszkuje. </w:t>
      </w:r>
    </w:p>
    <w:p w14:paraId="1F25F834" w14:textId="56E8A77D" w:rsidR="00805152" w:rsidRPr="003758CC" w:rsidRDefault="00805152" w:rsidP="005C2C62">
      <w:pPr>
        <w:spacing w:after="200"/>
        <w:ind w:firstLine="567"/>
        <w:jc w:val="both"/>
        <w:rPr>
          <w:color w:val="000000"/>
        </w:rPr>
      </w:pPr>
      <w:r w:rsidRPr="003758CC">
        <w:rPr>
          <w:color w:val="000000"/>
        </w:rPr>
        <w:t xml:space="preserve">Przepisy prawa ogólnie obowiązującego, </w:t>
      </w:r>
      <w:r w:rsidR="004646AE" w:rsidRPr="003758CC">
        <w:rPr>
          <w:color w:val="000000"/>
        </w:rPr>
        <w:t>zdecydowanie</w:t>
      </w:r>
      <w:r w:rsidRPr="003758CC">
        <w:rPr>
          <w:color w:val="000000"/>
        </w:rPr>
        <w:t xml:space="preserve"> częściej posługują się pojęciem miejsca zamieszkania, natomiast niestety dla samorządów meldunek to nadal obowiązujące źródło informacji i mimo rozbieżności informacyjnych, samorządy muszą opierać się na danych meldunkowych.</w:t>
      </w:r>
      <w:r w:rsidR="004646AE" w:rsidRPr="003758CC">
        <w:rPr>
          <w:color w:val="000000"/>
        </w:rPr>
        <w:t xml:space="preserve"> </w:t>
      </w:r>
      <w:r w:rsidRPr="003758CC">
        <w:rPr>
          <w:color w:val="000000"/>
        </w:rPr>
        <w:t xml:space="preserve">Przykładem </w:t>
      </w:r>
      <w:r w:rsidR="004646AE" w:rsidRPr="003758CC">
        <w:rPr>
          <w:color w:val="000000"/>
        </w:rPr>
        <w:t>może być choćby definicja l</w:t>
      </w:r>
      <w:r w:rsidR="004646AE" w:rsidRPr="003758CC">
        <w:t>egalna zawarta w art. 5 pkt 9 ustawy Kodeks wyborczy</w:t>
      </w:r>
      <w:r w:rsidR="006903A0">
        <w:t>,</w:t>
      </w:r>
      <w:r w:rsidR="004646AE" w:rsidRPr="003758CC">
        <w:t xml:space="preserve"> która  stanowi, iż przez stałe zamieszkanie należy rozumieć zamieszkanie </w:t>
      </w:r>
      <w:r w:rsidR="004646AE" w:rsidRPr="003758CC">
        <w:lastRenderedPageBreak/>
        <w:t xml:space="preserve">w określonej miejscowości pod oznaczonym adresem z zamiarem stałego pobytu. Nie budzi wątpliwości, że ta definicja nie różni się od pojęcia miejsca zamieszkania osoby fizycznej występującej w art. 25 </w:t>
      </w:r>
      <w:r w:rsidR="006903A0">
        <w:t>K</w:t>
      </w:r>
      <w:r w:rsidR="004646AE" w:rsidRPr="003758CC">
        <w:t>odeksu cywilnego, zgodnie z którą miejscem zamieszkania jest miejscowość, w której osoba ta przebywa z zamiarem stałego pobytu. W definicji zamieszkania zawartej w art. 5 pkt 9 ustawy Kodeks wyborczy ustawodawca dodatkowo wskazał na zamieszkanie danej osoby pod oznaczonym adresem</w:t>
      </w:r>
      <w:r w:rsidR="004646AE" w:rsidRPr="003758CC">
        <w:rPr>
          <w:color w:val="000000"/>
        </w:rPr>
        <w:t xml:space="preserve">. </w:t>
      </w:r>
      <w:r w:rsidR="00EC6ED4" w:rsidRPr="003758CC">
        <w:rPr>
          <w:color w:val="000000"/>
        </w:rPr>
        <w:t>Dalej wskazuj</w:t>
      </w:r>
      <w:r w:rsidR="006903A0">
        <w:rPr>
          <w:color w:val="000000"/>
        </w:rPr>
        <w:t>emy</w:t>
      </w:r>
      <w:r w:rsidR="00EC6ED4" w:rsidRPr="003758CC">
        <w:rPr>
          <w:color w:val="000000"/>
        </w:rPr>
        <w:t xml:space="preserve">, że </w:t>
      </w:r>
      <w:r w:rsidR="00EC6ED4" w:rsidRPr="003758CC">
        <w:rPr>
          <w:color w:val="333333"/>
          <w:shd w:val="clear" w:color="auto" w:fill="FFFFFF"/>
        </w:rPr>
        <w:t>ustalenie liczby radnych następuje, w myśl </w:t>
      </w:r>
      <w:r w:rsidR="00EC6ED4" w:rsidRPr="003758CC">
        <w:rPr>
          <w:shd w:val="clear" w:color="auto" w:fill="FFFFFF"/>
        </w:rPr>
        <w:t>art. 373 § 2</w:t>
      </w:r>
      <w:r w:rsidR="00EC6ED4" w:rsidRPr="003758CC">
        <w:rPr>
          <w:color w:val="333333"/>
          <w:shd w:val="clear" w:color="auto" w:fill="FFFFFF"/>
        </w:rPr>
        <w:t> </w:t>
      </w:r>
      <w:r w:rsidR="006903A0">
        <w:rPr>
          <w:color w:val="333333"/>
          <w:shd w:val="clear" w:color="auto" w:fill="FFFFFF"/>
        </w:rPr>
        <w:t>K</w:t>
      </w:r>
      <w:r w:rsidR="005D4524" w:rsidRPr="003758CC">
        <w:rPr>
          <w:color w:val="333333"/>
          <w:shd w:val="clear" w:color="auto" w:fill="FFFFFF"/>
        </w:rPr>
        <w:t>odeksu wyborczego</w:t>
      </w:r>
      <w:r w:rsidR="00EC6ED4" w:rsidRPr="003758CC">
        <w:rPr>
          <w:color w:val="333333"/>
          <w:shd w:val="clear" w:color="auto" w:fill="FFFFFF"/>
        </w:rPr>
        <w:t>, na podstawie liczby mieszkańców zamieszkałych na obszarze działania danej rady, ujętych w stałym rejestrze wyborców na koniec roku poprzedzającego rok, w którym wybory mają być przeprowadzone.</w:t>
      </w:r>
      <w:r w:rsidR="005D4524" w:rsidRPr="003758CC">
        <w:rPr>
          <w:color w:val="000000"/>
        </w:rPr>
        <w:t xml:space="preserve"> Również w orzecznictwie </w:t>
      </w:r>
      <w:proofErr w:type="spellStart"/>
      <w:r w:rsidR="005D4524" w:rsidRPr="003758CC">
        <w:rPr>
          <w:color w:val="000000"/>
        </w:rPr>
        <w:t>s</w:t>
      </w:r>
      <w:r w:rsidR="00731C81">
        <w:rPr>
          <w:color w:val="000000"/>
        </w:rPr>
        <w:t>ą</w:t>
      </w:r>
      <w:r w:rsidR="005D4524" w:rsidRPr="003758CC">
        <w:rPr>
          <w:color w:val="000000"/>
        </w:rPr>
        <w:t>dowoadministracyjnym</w:t>
      </w:r>
      <w:proofErr w:type="spellEnd"/>
      <w:r w:rsidR="005D4524" w:rsidRPr="003758CC">
        <w:rPr>
          <w:color w:val="000000"/>
        </w:rPr>
        <w:t xml:space="preserve"> stwierdza się, że wykładnia celowościowa wskazuje na potrzebę utożsamiania pojęcia "mieszkaniec gminy" z pojęciem "osoby stale zamieszkującej" na obszarze tej gminy, a nie </w:t>
      </w:r>
      <w:r w:rsidR="008852ED" w:rsidRPr="003758CC">
        <w:rPr>
          <w:color w:val="000000"/>
        </w:rPr>
        <w:t>zameldowanej</w:t>
      </w:r>
      <w:r w:rsidR="005D4524" w:rsidRPr="003758CC">
        <w:rPr>
          <w:color w:val="000000"/>
        </w:rPr>
        <w:t xml:space="preserve">. </w:t>
      </w:r>
    </w:p>
    <w:p w14:paraId="6E84E708" w14:textId="50C53D2D" w:rsidR="00805152" w:rsidRPr="003758CC" w:rsidRDefault="00805152" w:rsidP="005C2C62">
      <w:pPr>
        <w:spacing w:after="200"/>
        <w:ind w:firstLine="567"/>
        <w:jc w:val="both"/>
        <w:rPr>
          <w:color w:val="000000"/>
        </w:rPr>
      </w:pPr>
      <w:r w:rsidRPr="003758CC">
        <w:rPr>
          <w:color w:val="000000"/>
        </w:rPr>
        <w:t>Natomiast, w zakresie prawa podatkowego, istotnym problemem dla samorządów jest uzależnienie udziału w podatkach od liczby mieszkańców.</w:t>
      </w:r>
      <w:r w:rsidR="00A24A1B" w:rsidRPr="003758CC">
        <w:rPr>
          <w:color w:val="000000"/>
        </w:rPr>
        <w:t xml:space="preserve"> </w:t>
      </w:r>
      <w:r w:rsidR="00A24A1B" w:rsidRPr="003758CC">
        <w:rPr>
          <w:color w:val="3A3A3A"/>
          <w:shd w:val="clear" w:color="auto" w:fill="FFFFFF"/>
        </w:rPr>
        <w:t>Jasnym jest, że mieszkaniec ma możliwość, by zadeklarować chęć płacenia podatku w miejscu zamieszkania, które jest inne niż miejsce zameldowania. Jednakże taka informacja jest przekazywana bezpośrednio do urzędów skarbowych, które nie mają obowiązku informowania o tym jednostek samorząd</w:t>
      </w:r>
      <w:r w:rsidR="008852ED" w:rsidRPr="003758CC">
        <w:rPr>
          <w:color w:val="3A3A3A"/>
          <w:shd w:val="clear" w:color="auto" w:fill="FFFFFF"/>
        </w:rPr>
        <w:t>u</w:t>
      </w:r>
      <w:r w:rsidR="00A24A1B" w:rsidRPr="003758CC">
        <w:rPr>
          <w:color w:val="3A3A3A"/>
          <w:shd w:val="clear" w:color="auto" w:fill="FFFFFF"/>
        </w:rPr>
        <w:t xml:space="preserve"> terytorialnego. </w:t>
      </w:r>
      <w:r w:rsidRPr="003758CC">
        <w:rPr>
          <w:color w:val="000000"/>
        </w:rPr>
        <w:t>Ponadto, jeśli mieszkaniec płaci podatek w miejscu zameldowania, a nie faktycznego zamieszkania – wówczas środki finansowe płyną do miejsca, w którym mieszkaniec nie przebywa, a tym samym środki nie wpływają na solidarne kształtowanie źródła finansowania potrzeb wspólnoty samorządowej, której jest częścią. Jednostki samorządu terytorialnego nie mają skutecznych narzędzi do zmiany tego stanu. </w:t>
      </w:r>
      <w:r w:rsidR="00AD259D" w:rsidRPr="003758CC">
        <w:rPr>
          <w:color w:val="000000"/>
        </w:rPr>
        <w:t xml:space="preserve">Nie ulega wątpliwości, że </w:t>
      </w:r>
      <w:r w:rsidR="00F2466E" w:rsidRPr="003758CC">
        <w:rPr>
          <w:color w:val="000000"/>
        </w:rPr>
        <w:t>rzetelna ewidencja mieszkańców</w:t>
      </w:r>
      <w:r w:rsidR="005D4524" w:rsidRPr="003758CC">
        <w:rPr>
          <w:color w:val="000000"/>
        </w:rPr>
        <w:t xml:space="preserve"> </w:t>
      </w:r>
      <w:r w:rsidR="00F2466E" w:rsidRPr="003758CC">
        <w:rPr>
          <w:color w:val="333333"/>
          <w:shd w:val="clear" w:color="auto" w:fill="FFFFFF"/>
        </w:rPr>
        <w:t>jest instytucją</w:t>
      </w:r>
      <w:r w:rsidR="00117D84" w:rsidRPr="003758CC">
        <w:rPr>
          <w:color w:val="333333"/>
          <w:shd w:val="clear" w:color="auto" w:fill="FFFFFF"/>
        </w:rPr>
        <w:t xml:space="preserve"> istotną</w:t>
      </w:r>
      <w:r w:rsidR="00AD259D" w:rsidRPr="003758CC">
        <w:rPr>
          <w:color w:val="333333"/>
          <w:shd w:val="clear" w:color="auto" w:fill="FFFFFF"/>
        </w:rPr>
        <w:t xml:space="preserve"> dla administracji publicznej</w:t>
      </w:r>
      <w:r w:rsidR="00577DA1" w:rsidRPr="003758CC">
        <w:rPr>
          <w:color w:val="333333"/>
          <w:shd w:val="clear" w:color="auto" w:fill="FFFFFF"/>
        </w:rPr>
        <w:t xml:space="preserve">, z tego też względu należy </w:t>
      </w:r>
      <w:r w:rsidR="00577DA1" w:rsidRPr="003758CC">
        <w:rPr>
          <w:color w:val="2C2E2F"/>
          <w:shd w:val="clear" w:color="auto" w:fill="FFFFFF"/>
        </w:rPr>
        <w:t>wprowadzić takie rozwiązania prawne, które umożliwią samorządom ustalanie rzeczywistej liczby mieszkańców.</w:t>
      </w:r>
    </w:p>
    <w:p w14:paraId="59D24A41" w14:textId="77777777" w:rsidR="005C2C62" w:rsidRDefault="003C727E" w:rsidP="005C2C62">
      <w:pPr>
        <w:spacing w:after="200"/>
        <w:ind w:firstLine="567"/>
        <w:jc w:val="both"/>
        <w:rPr>
          <w:color w:val="333333"/>
          <w:shd w:val="clear" w:color="auto" w:fill="FFFFFF"/>
        </w:rPr>
      </w:pPr>
      <w:r w:rsidRPr="003758CC">
        <w:t>Mając na uwadze powyższe niezbędn</w:t>
      </w:r>
      <w:r w:rsidR="003C1CF8">
        <w:t>e</w:t>
      </w:r>
      <w:r w:rsidRPr="003758CC">
        <w:t xml:space="preserve"> jest wprowadzenie zmian w ewidencji </w:t>
      </w:r>
      <w:r w:rsidR="00604C19" w:rsidRPr="003758CC">
        <w:t>ludności</w:t>
      </w:r>
      <w:r w:rsidR="005D4524" w:rsidRPr="003758CC">
        <w:t xml:space="preserve">, co bez wątpienia </w:t>
      </w:r>
      <w:r w:rsidR="00805152" w:rsidRPr="003758CC">
        <w:t xml:space="preserve">znacząco usprawniłyby </w:t>
      </w:r>
      <w:r w:rsidR="00117D84" w:rsidRPr="003758CC">
        <w:t>samorządom prowadzenie gospodarki finansowej</w:t>
      </w:r>
      <w:r w:rsidR="00805152" w:rsidRPr="003758CC">
        <w:t xml:space="preserve"> </w:t>
      </w:r>
      <w:r w:rsidR="004646AE" w:rsidRPr="003758CC">
        <w:t xml:space="preserve">oraz w konsekwencji </w:t>
      </w:r>
      <w:r w:rsidR="004646AE" w:rsidRPr="003758CC">
        <w:rPr>
          <w:color w:val="333333"/>
          <w:shd w:val="clear" w:color="auto" w:fill="FFFFFF"/>
        </w:rPr>
        <w:t xml:space="preserve">sprawi, że dane uwidocznione w ewidencji </w:t>
      </w:r>
      <w:r w:rsidR="005D4524" w:rsidRPr="003758CC">
        <w:rPr>
          <w:color w:val="333333"/>
          <w:shd w:val="clear" w:color="auto" w:fill="FFFFFF"/>
        </w:rPr>
        <w:t xml:space="preserve">ludności </w:t>
      </w:r>
      <w:r w:rsidR="004646AE" w:rsidRPr="003758CC">
        <w:rPr>
          <w:color w:val="333333"/>
          <w:shd w:val="clear" w:color="auto" w:fill="FFFFFF"/>
        </w:rPr>
        <w:t>będą aktualne i zgodne z</w:t>
      </w:r>
      <w:r w:rsidR="00517C01">
        <w:rPr>
          <w:color w:val="333333"/>
          <w:shd w:val="clear" w:color="auto" w:fill="FFFFFF"/>
        </w:rPr>
        <w:t> </w:t>
      </w:r>
      <w:r w:rsidR="004646AE" w:rsidRPr="003758CC">
        <w:rPr>
          <w:color w:val="333333"/>
          <w:shd w:val="clear" w:color="auto" w:fill="FFFFFF"/>
        </w:rPr>
        <w:t>rzeczywistością</w:t>
      </w:r>
      <w:r w:rsidR="005D4524" w:rsidRPr="003758CC">
        <w:rPr>
          <w:color w:val="333333"/>
          <w:shd w:val="clear" w:color="auto" w:fill="FFFFFF"/>
        </w:rPr>
        <w:t xml:space="preserve">. </w:t>
      </w:r>
    </w:p>
    <w:p w14:paraId="2A5C875E" w14:textId="1AA5A0A3" w:rsidR="005C2C62" w:rsidRPr="00222BD4" w:rsidRDefault="005C2C62" w:rsidP="005C2C62">
      <w:pPr>
        <w:spacing w:after="200"/>
        <w:ind w:firstLine="567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Zgromadzenie Ogólne Śląskiego Związku Gmin i Powiatów proponuje zatem, aby skonstruować przepisy z zakresu ewidencji ludności w taki sposób, aby uwzględnić następujące kwestie:</w:t>
      </w:r>
    </w:p>
    <w:p w14:paraId="3AC1DC58" w14:textId="024AE39F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zastąpić obowiązek meldunkowy obowiązkiem rejestracji miejsca zamieszkania obywatela;</w:t>
      </w:r>
    </w:p>
    <w:p w14:paraId="3A2EE27A" w14:textId="687B4585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zarejestrowanie miejsca zamieszkania obywatela powinno oznaczać faktyczny pobyt, zamieszkiwani</w:t>
      </w:r>
      <w:r w:rsidR="00A51226">
        <w:rPr>
          <w:shd w:val="clear" w:color="auto" w:fill="FFFFFF"/>
        </w:rPr>
        <w:t>e</w:t>
      </w:r>
      <w:r w:rsidRPr="00222BD4">
        <w:rPr>
          <w:shd w:val="clear" w:color="auto" w:fill="FFFFFF"/>
        </w:rPr>
        <w:t xml:space="preserve"> obywatela w lokalu w danej miejscowości, członkostwo we wspólnocie samorządowej, rzeczywiste centrum aktywności życiowej osoby oraz przesądzać również o miejscu zamieszkania w rozumieniu prawa cywilnego oraz musi być równoznaczne z podawanym adresem do korespondencji;</w:t>
      </w:r>
    </w:p>
    <w:p w14:paraId="33B3393D" w14:textId="132DE7E0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utożsamić pojęcie osoby stale zamieszkującej w danej miejscowości z obowiązkiem rejestracji miejsca zamieszkania obywatela, a tym samym ustanowić ewidencję ludności z realną ilością mieszkańców danej gminy;</w:t>
      </w:r>
    </w:p>
    <w:p w14:paraId="7DA7A79B" w14:textId="0222EDB7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uzależnić chęć płacenia podatku przez obywatela w organie podatkowym od zarejestrowanego miejsca zamieszkiwania w organie gminy;</w:t>
      </w:r>
    </w:p>
    <w:p w14:paraId="23D5EC55" w14:textId="6D8F987C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powiązać rejestr mieszkańców (rejestr PESEL) organu gminy z rejestrem płatników organów podatkowych – możliwość aktualizowania danych dot. zamieszkania przez organy podatkowe;</w:t>
      </w:r>
    </w:p>
    <w:p w14:paraId="2EF0FE16" w14:textId="0E05CBA1" w:rsidR="005C2C62" w:rsidRPr="00222BD4" w:rsidRDefault="005C2C62" w:rsidP="005C2C62">
      <w:pPr>
        <w:pStyle w:val="Akapitzlist"/>
        <w:numPr>
          <w:ilvl w:val="0"/>
          <w:numId w:val="3"/>
        </w:numPr>
        <w:tabs>
          <w:tab w:val="right" w:pos="-1080"/>
          <w:tab w:val="left" w:pos="0"/>
          <w:tab w:val="left" w:pos="567"/>
        </w:tabs>
        <w:spacing w:after="80"/>
        <w:ind w:left="426" w:hanging="426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>ujednolicić przepisy prawa z innych obszarów, tak aby kwestie z nich wynikające były uzależnione od zarejestrowanego pobytu.</w:t>
      </w:r>
    </w:p>
    <w:p w14:paraId="40F13887" w14:textId="77777777" w:rsidR="000720F5" w:rsidRDefault="000720F5" w:rsidP="005C2C62">
      <w:pPr>
        <w:tabs>
          <w:tab w:val="right" w:pos="-1080"/>
          <w:tab w:val="left" w:pos="0"/>
          <w:tab w:val="left" w:pos="567"/>
        </w:tabs>
        <w:spacing w:after="200"/>
        <w:ind w:firstLine="567"/>
        <w:jc w:val="both"/>
        <w:rPr>
          <w:shd w:val="clear" w:color="auto" w:fill="FFFFFF"/>
        </w:rPr>
      </w:pPr>
    </w:p>
    <w:p w14:paraId="3B49A760" w14:textId="77777777" w:rsidR="000720F5" w:rsidRDefault="000720F5" w:rsidP="005C2C62">
      <w:pPr>
        <w:tabs>
          <w:tab w:val="right" w:pos="-1080"/>
          <w:tab w:val="left" w:pos="0"/>
          <w:tab w:val="left" w:pos="567"/>
        </w:tabs>
        <w:spacing w:after="200"/>
        <w:ind w:firstLine="567"/>
        <w:jc w:val="both"/>
        <w:rPr>
          <w:shd w:val="clear" w:color="auto" w:fill="FFFFFF"/>
        </w:rPr>
      </w:pPr>
    </w:p>
    <w:p w14:paraId="0EA66B92" w14:textId="01126F6F" w:rsidR="00E37678" w:rsidRDefault="005C2C62" w:rsidP="005C2C62">
      <w:pPr>
        <w:tabs>
          <w:tab w:val="right" w:pos="-1080"/>
          <w:tab w:val="left" w:pos="0"/>
          <w:tab w:val="left" w:pos="567"/>
        </w:tabs>
        <w:spacing w:after="200"/>
        <w:ind w:firstLine="567"/>
        <w:jc w:val="both"/>
        <w:rPr>
          <w:shd w:val="clear" w:color="auto" w:fill="FFFFFF"/>
        </w:rPr>
      </w:pPr>
      <w:r w:rsidRPr="00222BD4">
        <w:rPr>
          <w:shd w:val="clear" w:color="auto" w:fill="FFFFFF"/>
        </w:rPr>
        <w:t xml:space="preserve">Zmiany te w istotny sposób przyczyniłyby się do ujednolicenia pojęcia miejsca zamieszkania z faktycznym pobytem osoby w danej miejscowości, ustalenia rzeczywistej liczby mieszkańców w danej gminie </w:t>
      </w:r>
      <w:r w:rsidR="00A51226">
        <w:rPr>
          <w:shd w:val="clear" w:color="auto" w:fill="FFFFFF"/>
        </w:rPr>
        <w:t xml:space="preserve">i </w:t>
      </w:r>
      <w:r w:rsidRPr="00222BD4">
        <w:rPr>
          <w:shd w:val="clear" w:color="auto" w:fill="FFFFFF"/>
        </w:rPr>
        <w:t xml:space="preserve">liczby wyborców zamieszkałych na obszarze działania danej </w:t>
      </w:r>
      <w:r w:rsidRPr="00EA29DA">
        <w:rPr>
          <w:shd w:val="clear" w:color="auto" w:fill="FFFFFF"/>
        </w:rPr>
        <w:t>rady</w:t>
      </w:r>
      <w:r w:rsidR="00A51226" w:rsidRPr="00EA29DA">
        <w:rPr>
          <w:shd w:val="clear" w:color="auto" w:fill="FFFFFF"/>
        </w:rPr>
        <w:t>,</w:t>
      </w:r>
      <w:r w:rsidR="00A51226">
        <w:rPr>
          <w:shd w:val="clear" w:color="auto" w:fill="FFFFFF"/>
        </w:rPr>
        <w:t xml:space="preserve"> a także </w:t>
      </w:r>
      <w:r w:rsidRPr="00222BD4">
        <w:rPr>
          <w:shd w:val="clear" w:color="auto" w:fill="FFFFFF"/>
        </w:rPr>
        <w:t>na</w:t>
      </w:r>
      <w:r w:rsidR="00B30DF4">
        <w:rPr>
          <w:shd w:val="clear" w:color="auto" w:fill="FFFFFF"/>
        </w:rPr>
        <w:t xml:space="preserve"> </w:t>
      </w:r>
      <w:r w:rsidR="00B30DF4" w:rsidRPr="00EA29DA">
        <w:rPr>
          <w:shd w:val="clear" w:color="auto" w:fill="FFFFFF"/>
        </w:rPr>
        <w:t xml:space="preserve">zgodne ze stanem faktycznym </w:t>
      </w:r>
      <w:r w:rsidRPr="00EA29DA">
        <w:rPr>
          <w:shd w:val="clear" w:color="auto" w:fill="FFFFFF"/>
        </w:rPr>
        <w:t>ustal</w:t>
      </w:r>
      <w:r w:rsidR="00046518" w:rsidRPr="00EA29DA">
        <w:rPr>
          <w:shd w:val="clear" w:color="auto" w:fill="FFFFFF"/>
        </w:rPr>
        <w:t>a</w:t>
      </w:r>
      <w:r w:rsidRPr="00EA29DA">
        <w:rPr>
          <w:shd w:val="clear" w:color="auto" w:fill="FFFFFF"/>
        </w:rPr>
        <w:t xml:space="preserve">nie środków finansowych należnych samorządom </w:t>
      </w:r>
      <w:r w:rsidR="00042165" w:rsidRPr="00EA29DA">
        <w:rPr>
          <w:shd w:val="clear" w:color="auto" w:fill="FFFFFF"/>
        </w:rPr>
        <w:t xml:space="preserve">m.in. </w:t>
      </w:r>
      <w:r w:rsidRPr="00EA29DA">
        <w:rPr>
          <w:shd w:val="clear" w:color="auto" w:fill="FFFFFF"/>
        </w:rPr>
        <w:t>z</w:t>
      </w:r>
      <w:r w:rsidR="00A51226" w:rsidRPr="00EA29DA">
        <w:rPr>
          <w:shd w:val="clear" w:color="auto" w:fill="FFFFFF"/>
        </w:rPr>
        <w:t> </w:t>
      </w:r>
      <w:r w:rsidRPr="00EA29DA">
        <w:rPr>
          <w:shd w:val="clear" w:color="auto" w:fill="FFFFFF"/>
        </w:rPr>
        <w:t>tytułu udziału w podatkach</w:t>
      </w:r>
      <w:r w:rsidR="00042165" w:rsidRPr="00EA29DA">
        <w:rPr>
          <w:shd w:val="clear" w:color="auto" w:fill="FFFFFF"/>
        </w:rPr>
        <w:t xml:space="preserve"> oraz z tytułu opłaty za gospodarowanie odpadami komunalnymi</w:t>
      </w:r>
      <w:r w:rsidRPr="00EA29DA">
        <w:rPr>
          <w:shd w:val="clear" w:color="auto" w:fill="FFFFFF"/>
        </w:rPr>
        <w:t>.</w:t>
      </w:r>
    </w:p>
    <w:p w14:paraId="65226724" w14:textId="13A6F49B" w:rsidR="000720F5" w:rsidRDefault="000720F5" w:rsidP="000720F5">
      <w:pPr>
        <w:tabs>
          <w:tab w:val="right" w:pos="-1080"/>
          <w:tab w:val="left" w:pos="0"/>
          <w:tab w:val="left" w:pos="567"/>
        </w:tabs>
        <w:spacing w:after="200"/>
        <w:jc w:val="both"/>
        <w:rPr>
          <w:shd w:val="clear" w:color="auto" w:fill="FFFFFF"/>
        </w:rPr>
      </w:pPr>
    </w:p>
    <w:p w14:paraId="07029E60" w14:textId="0A8287F8" w:rsidR="000720F5" w:rsidRDefault="000720F5" w:rsidP="000720F5">
      <w:pPr>
        <w:tabs>
          <w:tab w:val="right" w:pos="-1080"/>
          <w:tab w:val="left" w:pos="0"/>
          <w:tab w:val="left" w:pos="567"/>
        </w:tabs>
        <w:spacing w:after="200"/>
        <w:jc w:val="both"/>
        <w:rPr>
          <w:shd w:val="clear" w:color="auto" w:fill="FFFFFF"/>
        </w:rPr>
      </w:pPr>
    </w:p>
    <w:p w14:paraId="1FAE1CDE" w14:textId="77777777" w:rsidR="00235ADF" w:rsidRDefault="00235ADF" w:rsidP="000720F5">
      <w:pPr>
        <w:tabs>
          <w:tab w:val="right" w:pos="-1080"/>
          <w:tab w:val="left" w:pos="0"/>
          <w:tab w:val="left" w:pos="567"/>
        </w:tabs>
        <w:spacing w:after="200"/>
        <w:jc w:val="both"/>
        <w:rPr>
          <w:shd w:val="clear" w:color="auto" w:fill="FFFFFF"/>
        </w:rPr>
      </w:pPr>
    </w:p>
    <w:p w14:paraId="314288CA" w14:textId="77777777" w:rsidR="000720F5" w:rsidRDefault="000720F5" w:rsidP="000720F5">
      <w:pPr>
        <w:tabs>
          <w:tab w:val="right" w:pos="-1080"/>
          <w:tab w:val="left" w:pos="0"/>
          <w:tab w:val="left" w:pos="567"/>
        </w:tabs>
        <w:spacing w:after="200"/>
        <w:jc w:val="both"/>
        <w:rPr>
          <w:shd w:val="clear" w:color="auto" w:fill="FFFFFF"/>
        </w:rPr>
      </w:pPr>
    </w:p>
    <w:p w14:paraId="4DACF90D" w14:textId="4BA6FD0F" w:rsidR="00235ADF" w:rsidRDefault="00235ADF" w:rsidP="000720F5">
      <w:pPr>
        <w:tabs>
          <w:tab w:val="right" w:pos="-1080"/>
          <w:tab w:val="left" w:pos="0"/>
          <w:tab w:val="left" w:pos="567"/>
        </w:tabs>
        <w:ind w:firstLine="5670"/>
        <w:rPr>
          <w:shd w:val="clear" w:color="auto" w:fill="FFFFFF"/>
        </w:rPr>
      </w:pPr>
      <w:r>
        <w:rPr>
          <w:shd w:val="clear" w:color="auto" w:fill="FFFFFF"/>
        </w:rPr>
        <w:t>Piotr Kuczera</w:t>
      </w:r>
    </w:p>
    <w:p w14:paraId="6ECEE6FD" w14:textId="308A88C0" w:rsidR="000720F5" w:rsidRDefault="000720F5" w:rsidP="000720F5">
      <w:pPr>
        <w:tabs>
          <w:tab w:val="right" w:pos="-1080"/>
          <w:tab w:val="left" w:pos="0"/>
          <w:tab w:val="left" w:pos="567"/>
        </w:tabs>
        <w:ind w:firstLine="5670"/>
        <w:rPr>
          <w:shd w:val="clear" w:color="auto" w:fill="FFFFFF"/>
        </w:rPr>
      </w:pPr>
      <w:r>
        <w:rPr>
          <w:shd w:val="clear" w:color="auto" w:fill="FFFFFF"/>
        </w:rPr>
        <w:t>Przewodniczący</w:t>
      </w:r>
    </w:p>
    <w:p w14:paraId="3764445D" w14:textId="46240489" w:rsidR="000720F5" w:rsidRPr="00EA29DA" w:rsidRDefault="000720F5" w:rsidP="000720F5">
      <w:pPr>
        <w:tabs>
          <w:tab w:val="right" w:pos="-1080"/>
          <w:tab w:val="left" w:pos="0"/>
          <w:tab w:val="left" w:pos="567"/>
        </w:tabs>
        <w:ind w:firstLine="5670"/>
        <w:rPr>
          <w:shd w:val="clear" w:color="auto" w:fill="FFFFFF"/>
        </w:rPr>
      </w:pPr>
      <w:r>
        <w:rPr>
          <w:shd w:val="clear" w:color="auto" w:fill="FFFFFF"/>
        </w:rPr>
        <w:t>Zgromadzenia Ogólnego</w:t>
      </w:r>
    </w:p>
    <w:sectPr w:rsidR="000720F5" w:rsidRPr="00EA29DA" w:rsidSect="005C2C62">
      <w:footerReference w:type="default" r:id="rId9"/>
      <w:pgSz w:w="11906" w:h="16838"/>
      <w:pgMar w:top="851" w:right="1417" w:bottom="993" w:left="1417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3FE4" w14:textId="77777777" w:rsidR="000E50D0" w:rsidRDefault="000E50D0" w:rsidP="009420E6">
      <w:r>
        <w:separator/>
      </w:r>
    </w:p>
  </w:endnote>
  <w:endnote w:type="continuationSeparator" w:id="0">
    <w:p w14:paraId="5FCEFE96" w14:textId="77777777" w:rsidR="000E50D0" w:rsidRDefault="000E50D0" w:rsidP="009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E1F2" w14:textId="73D879C6" w:rsidR="009420E6" w:rsidRPr="009D3388" w:rsidRDefault="009420E6" w:rsidP="009D33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5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FBFF" w14:textId="77777777" w:rsidR="000E50D0" w:rsidRDefault="000E50D0" w:rsidP="009420E6">
      <w:r>
        <w:separator/>
      </w:r>
    </w:p>
  </w:footnote>
  <w:footnote w:type="continuationSeparator" w:id="0">
    <w:p w14:paraId="697BBEA2" w14:textId="77777777" w:rsidR="000E50D0" w:rsidRDefault="000E50D0" w:rsidP="0094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DDB"/>
    <w:multiLevelType w:val="hybridMultilevel"/>
    <w:tmpl w:val="7D1AF0FA"/>
    <w:lvl w:ilvl="0" w:tplc="FABE0678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3C42"/>
    <w:multiLevelType w:val="hybridMultilevel"/>
    <w:tmpl w:val="D63C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34E"/>
    <w:multiLevelType w:val="hybridMultilevel"/>
    <w:tmpl w:val="3718E7BC"/>
    <w:lvl w:ilvl="0" w:tplc="EA987350">
      <w:start w:val="1"/>
      <w:numFmt w:val="decimal"/>
      <w:lvlText w:val="%1."/>
      <w:lvlJc w:val="left"/>
      <w:pPr>
        <w:ind w:left="924" w:hanging="564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7DC4"/>
    <w:multiLevelType w:val="hybridMultilevel"/>
    <w:tmpl w:val="05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96327">
    <w:abstractNumId w:val="2"/>
  </w:num>
  <w:num w:numId="2" w16cid:durableId="1170682967">
    <w:abstractNumId w:val="3"/>
  </w:num>
  <w:num w:numId="3" w16cid:durableId="917591046">
    <w:abstractNumId w:val="1"/>
  </w:num>
  <w:num w:numId="4" w16cid:durableId="68393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12"/>
    <w:rsid w:val="00012D5E"/>
    <w:rsid w:val="00042165"/>
    <w:rsid w:val="00043FDB"/>
    <w:rsid w:val="00046518"/>
    <w:rsid w:val="000720F5"/>
    <w:rsid w:val="00082B12"/>
    <w:rsid w:val="00086570"/>
    <w:rsid w:val="00092226"/>
    <w:rsid w:val="000D1FA8"/>
    <w:rsid w:val="000E50D0"/>
    <w:rsid w:val="000E74EE"/>
    <w:rsid w:val="000F4A63"/>
    <w:rsid w:val="00100C70"/>
    <w:rsid w:val="00107905"/>
    <w:rsid w:val="00117D84"/>
    <w:rsid w:val="00127363"/>
    <w:rsid w:val="001B03C7"/>
    <w:rsid w:val="002117C8"/>
    <w:rsid w:val="00222BD4"/>
    <w:rsid w:val="002321BD"/>
    <w:rsid w:val="00235ADF"/>
    <w:rsid w:val="00240DD9"/>
    <w:rsid w:val="002505CF"/>
    <w:rsid w:val="00257C8E"/>
    <w:rsid w:val="002601AA"/>
    <w:rsid w:val="002A0F0B"/>
    <w:rsid w:val="002C2D34"/>
    <w:rsid w:val="00322C29"/>
    <w:rsid w:val="003758CC"/>
    <w:rsid w:val="00377F8A"/>
    <w:rsid w:val="003C1CF8"/>
    <w:rsid w:val="003C727E"/>
    <w:rsid w:val="0041142F"/>
    <w:rsid w:val="0041174F"/>
    <w:rsid w:val="00414644"/>
    <w:rsid w:val="00441E5B"/>
    <w:rsid w:val="004646AE"/>
    <w:rsid w:val="00474456"/>
    <w:rsid w:val="004831DD"/>
    <w:rsid w:val="004B220E"/>
    <w:rsid w:val="004E0FCA"/>
    <w:rsid w:val="004E46B8"/>
    <w:rsid w:val="00517C01"/>
    <w:rsid w:val="0055057E"/>
    <w:rsid w:val="005624CB"/>
    <w:rsid w:val="00576463"/>
    <w:rsid w:val="00577DA1"/>
    <w:rsid w:val="005A786F"/>
    <w:rsid w:val="005C1177"/>
    <w:rsid w:val="005C2C62"/>
    <w:rsid w:val="005D4524"/>
    <w:rsid w:val="005D6F0E"/>
    <w:rsid w:val="005E04DE"/>
    <w:rsid w:val="005E2A3E"/>
    <w:rsid w:val="005E2E1E"/>
    <w:rsid w:val="00604C19"/>
    <w:rsid w:val="006902A6"/>
    <w:rsid w:val="006903A0"/>
    <w:rsid w:val="006C3164"/>
    <w:rsid w:val="006F3029"/>
    <w:rsid w:val="00731C81"/>
    <w:rsid w:val="00744CFF"/>
    <w:rsid w:val="00746568"/>
    <w:rsid w:val="00794C7C"/>
    <w:rsid w:val="00802B35"/>
    <w:rsid w:val="00805152"/>
    <w:rsid w:val="00807E41"/>
    <w:rsid w:val="0082660F"/>
    <w:rsid w:val="0082796F"/>
    <w:rsid w:val="00831F98"/>
    <w:rsid w:val="00846527"/>
    <w:rsid w:val="00865DB4"/>
    <w:rsid w:val="00870DEF"/>
    <w:rsid w:val="008773E8"/>
    <w:rsid w:val="008852ED"/>
    <w:rsid w:val="008B0A07"/>
    <w:rsid w:val="008F16DB"/>
    <w:rsid w:val="008F2454"/>
    <w:rsid w:val="008F4ADC"/>
    <w:rsid w:val="009420E6"/>
    <w:rsid w:val="00950244"/>
    <w:rsid w:val="00961FD7"/>
    <w:rsid w:val="00967BDE"/>
    <w:rsid w:val="009C7C58"/>
    <w:rsid w:val="009C7EE3"/>
    <w:rsid w:val="009D3388"/>
    <w:rsid w:val="00A24A1B"/>
    <w:rsid w:val="00A2561A"/>
    <w:rsid w:val="00A51226"/>
    <w:rsid w:val="00A7613A"/>
    <w:rsid w:val="00A96FA7"/>
    <w:rsid w:val="00A97473"/>
    <w:rsid w:val="00AD259D"/>
    <w:rsid w:val="00AE1B70"/>
    <w:rsid w:val="00AF76A3"/>
    <w:rsid w:val="00B053EC"/>
    <w:rsid w:val="00B30DF4"/>
    <w:rsid w:val="00B37651"/>
    <w:rsid w:val="00B73A66"/>
    <w:rsid w:val="00BA1DB4"/>
    <w:rsid w:val="00BA5971"/>
    <w:rsid w:val="00BC16BA"/>
    <w:rsid w:val="00BD0860"/>
    <w:rsid w:val="00C14773"/>
    <w:rsid w:val="00C52A25"/>
    <w:rsid w:val="00C632CE"/>
    <w:rsid w:val="00C77D56"/>
    <w:rsid w:val="00C9737B"/>
    <w:rsid w:val="00CC2F79"/>
    <w:rsid w:val="00CC582E"/>
    <w:rsid w:val="00CD0269"/>
    <w:rsid w:val="00D116C4"/>
    <w:rsid w:val="00D50483"/>
    <w:rsid w:val="00D55B2F"/>
    <w:rsid w:val="00D55D0D"/>
    <w:rsid w:val="00D56120"/>
    <w:rsid w:val="00D66AF9"/>
    <w:rsid w:val="00D9132A"/>
    <w:rsid w:val="00DC2E91"/>
    <w:rsid w:val="00E12AAA"/>
    <w:rsid w:val="00E2154E"/>
    <w:rsid w:val="00E23025"/>
    <w:rsid w:val="00E37678"/>
    <w:rsid w:val="00EA29DA"/>
    <w:rsid w:val="00EA2A3E"/>
    <w:rsid w:val="00EC6ED4"/>
    <w:rsid w:val="00EE3A3F"/>
    <w:rsid w:val="00F1378D"/>
    <w:rsid w:val="00F1717D"/>
    <w:rsid w:val="00F2466E"/>
    <w:rsid w:val="00F27A1C"/>
    <w:rsid w:val="00F43392"/>
    <w:rsid w:val="00F53FC6"/>
    <w:rsid w:val="00F56C12"/>
    <w:rsid w:val="00F74963"/>
    <w:rsid w:val="00F75E2D"/>
    <w:rsid w:val="00FA20C0"/>
    <w:rsid w:val="00FA6E96"/>
    <w:rsid w:val="00FB0D05"/>
    <w:rsid w:val="00FB2CC1"/>
    <w:rsid w:val="00FC3EC1"/>
    <w:rsid w:val="00FE01FE"/>
    <w:rsid w:val="00FF170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8D28C"/>
  <w15:chartTrackingRefBased/>
  <w15:docId w15:val="{1041C42B-402C-4DD9-9642-7F282D7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58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F7F79"/>
    <w:rPr>
      <w:color w:val="0000FF"/>
      <w:u w:val="single"/>
    </w:rPr>
  </w:style>
  <w:style w:type="paragraph" w:customStyle="1" w:styleId="zpktzmpktartykuempunktem">
    <w:name w:val="zpktzmpktartykuempunktem"/>
    <w:basedOn w:val="Normalny"/>
    <w:rsid w:val="00FF7F79"/>
    <w:pPr>
      <w:spacing w:before="100" w:beforeAutospacing="1" w:after="100" w:afterAutospacing="1"/>
    </w:pPr>
  </w:style>
  <w:style w:type="paragraph" w:customStyle="1" w:styleId="zlitwpktzmlitwpktartykuempunktem">
    <w:name w:val="zlitwpktzmlitwpktartykuempunktem"/>
    <w:basedOn w:val="Normalny"/>
    <w:rsid w:val="00FF7F7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086570"/>
    <w:rPr>
      <w:sz w:val="28"/>
      <w:szCs w:val="20"/>
    </w:rPr>
  </w:style>
  <w:style w:type="character" w:customStyle="1" w:styleId="TekstpodstawowyZnak">
    <w:name w:val="Tekst podstawowy Znak"/>
    <w:link w:val="Tekstpodstawowy"/>
    <w:rsid w:val="00086570"/>
    <w:rPr>
      <w:sz w:val="28"/>
    </w:rPr>
  </w:style>
  <w:style w:type="paragraph" w:customStyle="1" w:styleId="DRUKTYT2">
    <w:name w:val="DRUKTYT2"/>
    <w:rsid w:val="00086570"/>
    <w:pPr>
      <w:widowControl w:val="0"/>
      <w:tabs>
        <w:tab w:val="left" w:leader="dot" w:pos="567"/>
        <w:tab w:val="left" w:leader="dot" w:pos="850"/>
        <w:tab w:val="left" w:leader="dot" w:pos="1417"/>
        <w:tab w:val="left" w:leader="dot" w:pos="1984"/>
        <w:tab w:val="left" w:leader="dot" w:pos="2551"/>
        <w:tab w:val="left" w:leader="dot" w:pos="3600"/>
        <w:tab w:val="left" w:leader="dot" w:pos="4320"/>
        <w:tab w:val="right" w:leader="dot" w:pos="5040"/>
        <w:tab w:val="right" w:leader="dot" w:pos="5760"/>
        <w:tab w:val="right" w:leader="dot" w:pos="6480"/>
        <w:tab w:val="right" w:leader="do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0" w:after="140" w:line="260" w:lineRule="atLeast"/>
      <w:jc w:val="center"/>
    </w:pPr>
    <w:rPr>
      <w:b/>
      <w:bCs/>
      <w:sz w:val="22"/>
      <w:szCs w:val="19"/>
    </w:rPr>
  </w:style>
  <w:style w:type="paragraph" w:styleId="Tekstdymka">
    <w:name w:val="Balloon Text"/>
    <w:basedOn w:val="Normalny"/>
    <w:link w:val="TekstdymkaZnak"/>
    <w:rsid w:val="00F53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3FC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1B70"/>
    <w:rPr>
      <w:sz w:val="24"/>
      <w:szCs w:val="24"/>
    </w:rPr>
  </w:style>
  <w:style w:type="paragraph" w:styleId="Nagwek">
    <w:name w:val="header"/>
    <w:basedOn w:val="Normalny"/>
    <w:link w:val="NagwekZnak"/>
    <w:rsid w:val="0094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20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0E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CC73-83F8-4E28-8195-1EE65467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KNYPS</dc:creator>
  <cp:keywords/>
  <dc:description/>
  <cp:lastModifiedBy>Iwona Pragnąca ŚZGiP</cp:lastModifiedBy>
  <cp:revision>8</cp:revision>
  <cp:lastPrinted>2022-11-24T11:13:00Z</cp:lastPrinted>
  <dcterms:created xsi:type="dcterms:W3CDTF">2022-11-24T14:54:00Z</dcterms:created>
  <dcterms:modified xsi:type="dcterms:W3CDTF">2022-12-08T13:03:00Z</dcterms:modified>
</cp:coreProperties>
</file>