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36"/>
        </w:rPr>
      </w:pPr>
      <w:r>
        <w:rPr>
          <w:rFonts w:cs="Calibri" w:cstheme="minorHAnsi" w:ascii="Calibri" w:hAnsi="Calibri"/>
          <w:sz w:val="36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sz w:val="36"/>
        </w:rPr>
      </w:pPr>
      <w:r>
        <w:rPr>
          <w:rFonts w:cs="Calibri" w:cstheme="minorHAnsi" w:ascii="Calibri" w:hAnsi="Calibri"/>
          <w:b/>
          <w:sz w:val="36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sz w:val="36"/>
        </w:rPr>
      </w:pPr>
      <w:r>
        <w:rPr>
          <w:rFonts w:cs="Calibri" w:cstheme="minorHAnsi" w:ascii="Calibri" w:hAnsi="Calibri"/>
          <w:b/>
          <w:sz w:val="36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color w:val="000000"/>
          <w:sz w:val="36"/>
        </w:rPr>
        <w:t xml:space="preserve">Projekt 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i/>
          <w:i/>
          <w:color w:val="000000"/>
          <w:sz w:val="36"/>
        </w:rPr>
      </w:pPr>
      <w:r>
        <w:rPr>
          <w:rFonts w:cs="Calibri" w:cstheme="minorHAnsi" w:ascii="Calibri" w:hAnsi="Calibri"/>
          <w:b/>
          <w:i/>
          <w:color w:val="000000"/>
          <w:sz w:val="36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i/>
          <w:color w:val="000000"/>
          <w:sz w:val="36"/>
        </w:rPr>
        <w:t>wewnętrznej procedury dokonywania zgłoszeń naruszeń prawa i podejmowania działań następczych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36"/>
        </w:rPr>
      </w:pPr>
      <w:r>
        <w:rPr>
          <w:rFonts w:cs="Calibri" w:cstheme="minorHAnsi" w:ascii="Calibri" w:hAnsi="Calibri"/>
          <w:color w:val="000000"/>
          <w:sz w:val="36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36"/>
        </w:rPr>
        <w:t>opracowany przez Grupę Innowacji Samorządowych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36"/>
        </w:rPr>
        <w:t xml:space="preserve">w ramach przedsięwzięcia 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36"/>
        </w:rPr>
        <w:t>pn. „Benchmarking usług publicznych”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36"/>
        </w:rPr>
      </w:pPr>
      <w:r>
        <w:rPr>
          <w:rFonts w:cs="Calibri" w:cstheme="minorHAnsi" w:ascii="Calibri" w:hAnsi="Calibri"/>
          <w:color w:val="000000"/>
          <w:sz w:val="36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i/>
          <w:i/>
          <w:iCs/>
          <w:color w:val="000000"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color w:val="000000"/>
          <w:sz w:val="28"/>
          <w:szCs w:val="28"/>
        </w:rPr>
        <w:t>(</w:t>
      </w:r>
      <w:r>
        <w:rPr>
          <w:rFonts w:cs="Calibri" w:ascii="Calibri" w:hAnsi="Calibri" w:asciiTheme="minorHAnsi" w:cstheme="minorHAnsi" w:hAnsiTheme="minorHAnsi"/>
          <w:i/>
          <w:iCs/>
          <w:color w:val="000000"/>
          <w:sz w:val="28"/>
          <w:szCs w:val="28"/>
        </w:rPr>
        <w:t>dokument jest przykładem modelowego, wzorcowego zaimplementowania ustawy o ochronie sygnalistów, a przedstawione rozwiązania mają charakter ogólny                    i wymagają dostosowania przy projektowaniu procesu ochrony sygnalistów                     w konkretnej jst.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i/>
          <w:iCs/>
          <w:color w:val="000000"/>
          <w:sz w:val="28"/>
          <w:szCs w:val="28"/>
        </w:rPr>
        <w:t>Dodatkowo w załączniku nr 3 do procedury zaproponowano wzór klauzuli informacyjnej wynikający z art. 13 ust. 1 i 2 RODO, będący spełnieniem obowiązku informacyjnego dla osoby zgłaszającej naruszenie (sygnalisty))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36"/>
        </w:rPr>
      </w:pPr>
      <w:r>
        <w:rPr>
          <w:rFonts w:cs="Calibri" w:cstheme="minorHAnsi" w:ascii="Calibri" w:hAnsi="Calibri"/>
          <w:color w:val="000000"/>
          <w:sz w:val="36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36"/>
        </w:rPr>
      </w:pPr>
      <w:r>
        <w:rPr>
          <w:rFonts w:cs="Calibri" w:cstheme="minorHAnsi" w:ascii="Calibri" w:hAnsi="Calibri"/>
          <w:color w:val="000000"/>
          <w:sz w:val="36"/>
        </w:rPr>
      </w:r>
      <w:bookmarkStart w:id="0" w:name="_GoBack"/>
      <w:bookmarkStart w:id="1" w:name="_GoBack"/>
      <w:bookmarkEnd w:id="1"/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36"/>
        </w:rPr>
      </w:pPr>
      <w:r>
        <w:rPr>
          <w:rFonts w:cs="Calibri" w:cstheme="minorHAnsi" w:ascii="Calibri" w:hAnsi="Calibri"/>
          <w:color w:val="000000"/>
          <w:sz w:val="36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36"/>
        </w:rPr>
      </w:pPr>
      <w:r>
        <w:rPr>
          <w:rFonts w:cs="Calibri" w:cstheme="minorHAnsi" w:ascii="Calibri" w:hAnsi="Calibri"/>
          <w:color w:val="000000"/>
          <w:sz w:val="36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36"/>
        </w:rPr>
      </w:pPr>
      <w:r>
        <w:rPr>
          <w:rFonts w:cs="Calibri" w:cstheme="minorHAnsi" w:ascii="Calibri" w:hAnsi="Calibri"/>
          <w:color w:val="000000"/>
          <w:sz w:val="36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28"/>
        </w:rPr>
      </w:pPr>
      <w:r>
        <w:rPr>
          <w:rFonts w:cs="Calibri" w:cstheme="minorHAnsi" w:ascii="Calibri" w:hAnsi="Calibri"/>
          <w:color w:val="000000"/>
          <w:sz w:val="28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28"/>
        </w:rPr>
      </w:pPr>
      <w:r>
        <w:rPr>
          <w:rFonts w:cs="Calibri" w:cstheme="minorHAnsi" w:ascii="Calibri" w:hAnsi="Calibri"/>
          <w:color w:val="000000"/>
          <w:sz w:val="28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28"/>
        </w:rPr>
      </w:pPr>
      <w:r>
        <w:rPr>
          <w:rFonts w:cs="Calibri" w:cstheme="minorHAnsi" w:ascii="Calibri" w:hAnsi="Calibri"/>
          <w:color w:val="000000"/>
          <w:sz w:val="28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28"/>
        </w:rPr>
      </w:pPr>
      <w:r>
        <w:rPr>
          <w:rFonts w:cs="Calibri" w:cstheme="minorHAnsi" w:ascii="Calibri" w:hAnsi="Calibri"/>
          <w:color w:val="000000"/>
          <w:sz w:val="28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28"/>
        </w:rPr>
      </w:pPr>
      <w:r>
        <w:rPr>
          <w:rFonts w:cs="Calibri" w:cstheme="minorHAnsi" w:ascii="Calibri" w:hAnsi="Calibri"/>
          <w:color w:val="000000"/>
          <w:sz w:val="28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28"/>
        </w:rPr>
      </w:pPr>
      <w:r>
        <w:rPr>
          <w:rFonts w:cs="Calibri" w:cstheme="minorHAnsi" w:ascii="Calibri" w:hAnsi="Calibri"/>
          <w:color w:val="000000"/>
          <w:sz w:val="28"/>
        </w:rPr>
      </w:r>
    </w:p>
    <w:p>
      <w:pPr>
        <w:sectPr>
          <w:headerReference w:type="default" r:id="rId2"/>
          <w:type w:val="nextPage"/>
          <w:pgSz w:w="11906" w:h="16838"/>
          <w:pgMar w:left="1134" w:right="1134" w:gutter="0" w:header="708" w:top="765" w:footer="0" w:bottom="1134"/>
          <w:pgNumType w:fmt="decimal"/>
          <w:formProt w:val="false"/>
          <w:textDirection w:val="lrTb"/>
          <w:docGrid w:type="default" w:linePitch="299" w:charSpace="20480"/>
        </w:sect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28"/>
        </w:rPr>
      </w:pPr>
      <w:r>
        <w:rPr>
          <w:rFonts w:cs="Calibri" w:ascii="Calibri" w:hAnsi="Calibri" w:asciiTheme="minorHAnsi" w:cstheme="minorHAnsi" w:hAnsiTheme="minorHAnsi"/>
          <w:color w:val="000000"/>
          <w:sz w:val="28"/>
        </w:rPr>
        <w:t>Katowice, grudzień 2024 r.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UMTytu1"/>
        <w:spacing w:lineRule="auto" w:line="276" w:before="0" w:after="0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Zarządzenie nr ..../</w:t>
      </w:r>
      <w:bookmarkStart w:id="2" w:name="UM_Numer_i_data_zarz%2525252525252525252"/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....</w:t>
      </w:r>
      <w:bookmarkEnd w:id="2"/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/2024</w:t>
        <w:br/>
        <w:t>Prezydenta Miasta/Burmistrza Miasta/Wójta Gminy/Starosty Powiatu</w:t>
        <w:br/>
        <w:t>z dnia .... ................... 2024 r.</w:t>
      </w:r>
    </w:p>
    <w:p>
      <w:pPr>
        <w:pStyle w:val="UMTytu2"/>
        <w:spacing w:lineRule="auto" w:line="276" w:before="0" w:after="0"/>
        <w:jc w:val="center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w sprawie ustalenia wewnętrznej procedury dokonywania zgłoszeń naruszeń prawa                        i podejmowania działań następczych</w:t>
      </w:r>
    </w:p>
    <w:p>
      <w:pPr>
        <w:pStyle w:val="UMTretekstu"/>
        <w:spacing w:lineRule="auto" w:line="276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UMTretekstu"/>
        <w:spacing w:lineRule="auto" w:line="276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UMTretekstu"/>
        <w:spacing w:lineRule="auto" w:line="276" w:before="0" w:after="0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Na podstawie art. 30 ust. 1 ustawy</w:t>
      </w:r>
      <w:r>
        <w:rPr>
          <w:rStyle w:val="Domylnaczcionkaakapitu1"/>
          <w:rFonts w:eastAsia="Times New Roman"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z dnia 8 marca 1990 r. o samo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rządzie gminnym (Dz. U.              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z 2024 r.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poz. 1465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z późn. zm.)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w związku z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 xml:space="preserve"> art. 24 ust. 1 ustawy z dnia 14 czerwca 2024 r.                    o ochronie sygnalistów  (Dz. U. poz. 928) oraz § …………. Regulaminu Organizacyjnego Urzędu/Starostwa w sprawie nadania Regulaminu Organizacyjnego Urzędu/Starostwa …...) zarządzam, co następuje:</w:t>
      </w:r>
    </w:p>
    <w:p>
      <w:pPr>
        <w:pStyle w:val="UMTretekstu"/>
        <w:spacing w:lineRule="auto" w:line="276" w:before="0" w:after="0"/>
        <w:rPr>
          <w:rFonts w:ascii="Calibri" w:hAnsi="Calibri" w:cs="Calibri" w:asciiTheme="minorHAnsi" w:cstheme="minorHAnsi" w:hAnsiTheme="minorHAnsi"/>
          <w:color w:val="000000"/>
          <w:sz w:val="24"/>
        </w:rPr>
      </w:pPr>
      <w:r>
        <w:rPr>
          <w:rFonts w:cs="Calibri" w:cstheme="minorHAnsi" w:ascii="Calibri" w:hAnsi="Calibri"/>
          <w:color w:val="000000"/>
          <w:sz w:val="24"/>
        </w:rPr>
      </w:r>
    </w:p>
    <w:p>
      <w:pPr>
        <w:pStyle w:val="UMTresctekstu"/>
        <w:spacing w:lineRule="auto" w:line="276" w:before="0" w:after="0"/>
        <w:ind w:hanging="0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§ 1</w:t>
      </w:r>
    </w:p>
    <w:p>
      <w:pPr>
        <w:pStyle w:val="UMTretekstu"/>
        <w:spacing w:lineRule="auto" w:line="276" w:before="0" w:after="0"/>
        <w:ind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ab/>
        <w:t xml:space="preserve">Po konsultacji z zakładową organizacją zakładową/przedstawicielami osób świadczących pracę, ustalam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wewnętrzną procedurę dokonywania zgłoszeń naruszeń prawa i podejmowania działań następczych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, w brzmieniu określonym w załączniku nr 1.</w:t>
      </w:r>
    </w:p>
    <w:p>
      <w:pPr>
        <w:pStyle w:val="UMnr"/>
        <w:tabs>
          <w:tab w:val="clear" w:pos="720"/>
          <w:tab w:val="left" w:pos="0" w:leader="none"/>
        </w:tabs>
        <w:spacing w:before="0" w:after="0"/>
        <w:jc w:val="left"/>
        <w:rPr>
          <w:rFonts w:ascii="Calibri" w:hAnsi="Calibri" w:cs="Calibri" w:asciiTheme="minorHAnsi" w:cstheme="minorHAnsi" w:hAnsiTheme="minorHAnsi"/>
          <w:color w:val="000000"/>
          <w:sz w:val="24"/>
        </w:rPr>
      </w:pPr>
      <w:r>
        <w:rPr>
          <w:rFonts w:cs="Calibri" w:cstheme="minorHAnsi" w:ascii="Calibri" w:hAnsi="Calibri"/>
          <w:color w:val="000000"/>
          <w:sz w:val="24"/>
        </w:rPr>
      </w:r>
    </w:p>
    <w:p>
      <w:pPr>
        <w:pStyle w:val="UMTresctekstu"/>
        <w:spacing w:lineRule="auto" w:line="276" w:before="0" w:after="0"/>
        <w:ind w:left="283" w:hanging="0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§ 2</w:t>
      </w:r>
    </w:p>
    <w:p>
      <w:pPr>
        <w:pStyle w:val="UMTretekstu"/>
        <w:numPr>
          <w:ilvl w:val="0"/>
          <w:numId w:val="21"/>
        </w:numPr>
        <w:spacing w:lineRule="auto" w:line="276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Wykonanie zarządzenia powierzam pracownikom Urzędu/Starostwa.</w:t>
      </w:r>
    </w:p>
    <w:p>
      <w:pPr>
        <w:pStyle w:val="UMTretekstu"/>
        <w:numPr>
          <w:ilvl w:val="0"/>
          <w:numId w:val="21"/>
        </w:numPr>
        <w:spacing w:lineRule="auto" w:line="276" w:before="0" w:after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i/>
          <w:iCs/>
          <w:color w:val="000000"/>
          <w:sz w:val="24"/>
        </w:rPr>
        <w:t xml:space="preserve">Pracownicy Urzędu/Starostwa zobowiązani są do zapoznania się z </w:t>
      </w:r>
      <w:r>
        <w:rPr>
          <w:rStyle w:val="Domylnaczcionkaakapitu1"/>
          <w:rFonts w:cs="Calibri" w:ascii="Calibri" w:hAnsi="Calibri" w:asciiTheme="minorHAnsi" w:cstheme="minorHAnsi" w:hAnsiTheme="minorHAnsi"/>
          <w:i/>
          <w:iCs/>
          <w:color w:val="000000"/>
          <w:sz w:val="24"/>
        </w:rPr>
        <w:t>wewnętrzną procedurą dokonywania zgłoszeń naruszeń prawa i podejmowania działań następczych</w:t>
      </w:r>
      <w:r>
        <w:rPr>
          <w:rFonts w:cs="Calibri" w:ascii="Calibri" w:hAnsi="Calibri" w:asciiTheme="minorHAnsi" w:cstheme="minorHAnsi" w:hAnsiTheme="minorHAnsi"/>
          <w:i/>
          <w:iCs/>
          <w:color w:val="000000"/>
          <w:sz w:val="24"/>
        </w:rPr>
        <w:t xml:space="preserve"> oraz podpisania oświadczenia o zapoznaniu się z jej przepisami. Wzór oświadczenia stanowi załącznik nr 2.</w:t>
      </w:r>
      <w:r>
        <w:rPr>
          <w:rStyle w:val="Zakotwiczenieprzypisudolnego"/>
          <w:rFonts w:cs="Calibri" w:ascii="Calibri" w:hAnsi="Calibri" w:asciiTheme="minorHAnsi" w:cstheme="minorHAnsi" w:hAnsiTheme="minorHAnsi"/>
          <w:i/>
          <w:iCs/>
          <w:color w:val="000000"/>
          <w:sz w:val="24"/>
        </w:rPr>
        <w:footnoteReference w:id="2"/>
      </w:r>
    </w:p>
    <w:p>
      <w:pPr>
        <w:pStyle w:val="UMTretekstu"/>
        <w:spacing w:lineRule="auto" w:line="276" w:before="0" w:after="0"/>
        <w:ind w:hanging="0"/>
        <w:rPr>
          <w:rFonts w:ascii="Calibri" w:hAnsi="Calibri" w:cs="Calibri" w:asciiTheme="minorHAnsi" w:cstheme="minorHAnsi" w:hAnsiTheme="minorHAnsi"/>
          <w:i/>
          <w:i/>
          <w:iCs/>
          <w:strike/>
          <w:color w:val="000000"/>
          <w:sz w:val="24"/>
        </w:rPr>
      </w:pPr>
      <w:r>
        <w:rPr>
          <w:rFonts w:cs="Calibri" w:cstheme="minorHAnsi" w:ascii="Calibri" w:hAnsi="Calibri"/>
          <w:i/>
          <w:iCs/>
          <w:strike/>
          <w:color w:val="000000"/>
          <w:sz w:val="24"/>
        </w:rPr>
      </w:r>
    </w:p>
    <w:p>
      <w:pPr>
        <w:pStyle w:val="UMTresctekstu"/>
        <w:spacing w:lineRule="auto" w:line="276" w:before="0" w:after="0"/>
        <w:ind w:hanging="0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§ 3</w:t>
      </w:r>
    </w:p>
    <w:p>
      <w:pPr>
        <w:pStyle w:val="UMTretekstu"/>
        <w:spacing w:lineRule="auto" w:line="276" w:before="0" w:after="0"/>
        <w:ind w:hanging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ab/>
        <w:t>Zarządzenie wchodzi w życie po upływie 7 dni od podania go do wiadomości w sposób zwyczajowy osobom wykonującym pracę na rzecz Miasta/Gminy/Starostwa/</w:t>
      </w:r>
      <w:r>
        <w:rPr>
          <w:rFonts w:cs="Calibri" w:ascii="Calibri" w:hAnsi="Calibri" w:asciiTheme="minorHAnsi" w:cstheme="minorHAnsi" w:hAnsiTheme="minorHAnsi"/>
          <w:i/>
          <w:iCs/>
          <w:color w:val="000000"/>
          <w:sz w:val="24"/>
        </w:rPr>
        <w:t>poprzez opublikowanie na stronie Biuletynu Informacji Publicznej www.bip…….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  <w:sz w:val="24"/>
        </w:rPr>
        <w:footnoteReference w:id="3"/>
      </w:r>
    </w:p>
    <w:p>
      <w:pPr>
        <w:pStyle w:val="UMTretekstu"/>
        <w:spacing w:lineRule="auto" w:line="276" w:before="0" w:after="0"/>
        <w:ind w:hanging="0"/>
        <w:rPr>
          <w:rFonts w:ascii="Calibri" w:hAnsi="Calibri" w:cs="Calibri" w:asciiTheme="minorHAnsi" w:cstheme="minorHAnsi" w:hAnsiTheme="minorHAnsi"/>
          <w:color w:val="000000"/>
          <w:sz w:val="24"/>
        </w:rPr>
      </w:pPr>
      <w:r>
        <w:rPr>
          <w:rFonts w:cs="Calibri" w:cstheme="minorHAnsi" w:ascii="Calibri" w:hAnsi="Calibri"/>
          <w:color w:val="000000"/>
          <w:sz w:val="24"/>
        </w:rPr>
      </w:r>
    </w:p>
    <w:p>
      <w:pPr>
        <w:pStyle w:val="UMTretekstu"/>
        <w:spacing w:lineRule="auto" w:line="276" w:before="0" w:after="0"/>
        <w:ind w:hanging="0"/>
        <w:rPr>
          <w:rFonts w:ascii="Calibri" w:hAnsi="Calibri" w:cs="Calibri" w:asciiTheme="minorHAnsi" w:cstheme="minorHAnsi" w:hAnsiTheme="minorHAnsi"/>
          <w:color w:val="000000"/>
          <w:sz w:val="24"/>
        </w:rPr>
      </w:pPr>
      <w:r>
        <w:rPr>
          <w:rFonts w:cs="Calibri" w:cstheme="minorHAnsi" w:ascii="Calibri" w:hAnsi="Calibri"/>
          <w:color w:val="000000"/>
          <w:sz w:val="24"/>
        </w:rPr>
      </w:r>
    </w:p>
    <w:p>
      <w:pPr>
        <w:pStyle w:val="UMTretekstu"/>
        <w:spacing w:lineRule="auto" w:line="276" w:before="0" w:after="0"/>
        <w:ind w:hanging="0"/>
        <w:rPr>
          <w:rFonts w:ascii="Calibri" w:hAnsi="Calibri" w:cs="Calibri" w:asciiTheme="minorHAnsi" w:cstheme="minorHAnsi" w:hAnsiTheme="minorHAnsi"/>
          <w:color w:val="000000"/>
          <w:sz w:val="24"/>
        </w:rPr>
      </w:pPr>
      <w:r>
        <w:rPr>
          <w:rFonts w:cs="Calibri" w:cstheme="minorHAnsi" w:ascii="Calibri" w:hAnsi="Calibri"/>
          <w:color w:val="000000"/>
          <w:sz w:val="24"/>
        </w:rPr>
      </w:r>
    </w:p>
    <w:p>
      <w:pPr>
        <w:pStyle w:val="UMTretekstu"/>
        <w:spacing w:lineRule="auto" w:line="276" w:before="0" w:after="0"/>
        <w:ind w:hanging="0"/>
        <w:rPr>
          <w:rFonts w:ascii="Calibri" w:hAnsi="Calibri" w:cs="Calibri" w:asciiTheme="minorHAnsi" w:cstheme="minorHAnsi" w:hAnsiTheme="minorHAnsi"/>
          <w:color w:val="000000"/>
          <w:sz w:val="24"/>
        </w:rPr>
      </w:pPr>
      <w:r>
        <w:rPr>
          <w:rFonts w:cs="Calibri" w:cstheme="minorHAnsi" w:ascii="Calibri" w:hAnsi="Calibri"/>
          <w:color w:val="000000"/>
          <w:sz w:val="24"/>
        </w:rPr>
      </w:r>
      <w:r>
        <w:br w:type="page"/>
      </w:r>
    </w:p>
    <w:p>
      <w:pPr>
        <w:pStyle w:val="UMTretekstu"/>
        <w:spacing w:lineRule="auto" w:line="276" w:before="0" w:after="0"/>
        <w:ind w:hanging="0"/>
        <w:rPr>
          <w:rFonts w:ascii="Calibri" w:hAnsi="Calibri" w:cs="Calibri" w:asciiTheme="minorHAnsi" w:cstheme="minorHAnsi" w:hAnsiTheme="minorHAnsi"/>
          <w:color w:val="000000"/>
          <w:sz w:val="24"/>
        </w:rPr>
      </w:pPr>
      <w:r>
        <w:rPr>
          <w:rFonts w:cs="Calibri" w:cstheme="minorHAnsi" w:ascii="Calibri" w:hAnsi="Calibri"/>
          <w:color w:val="000000"/>
          <w:sz w:val="24"/>
        </w:rPr>
      </w:r>
    </w:p>
    <w:p>
      <w:pPr>
        <w:pStyle w:val="UMTytul1"/>
        <w:spacing w:lineRule="auto" w:line="240" w:before="0" w:after="0"/>
        <w:jc w:val="right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Załącznik nr 1 do zarządzenia ...</w:t>
      </w:r>
    </w:p>
    <w:p>
      <w:pPr>
        <w:pStyle w:val="UMTytu2"/>
        <w:spacing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UMTytu2"/>
        <w:spacing w:before="0" w:after="0"/>
        <w:jc w:val="center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b w:val="false"/>
          <w:color w:val="000000"/>
        </w:rPr>
        <w:t>Wewnętrzna procedura dokonywania zgłoszeń naruszeń prawa</w:t>
      </w:r>
    </w:p>
    <w:p>
      <w:pPr>
        <w:pStyle w:val="UMTytu2"/>
        <w:spacing w:before="0" w:after="0"/>
        <w:jc w:val="center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b w:val="false"/>
          <w:color w:val="000000"/>
        </w:rPr>
        <w:t>i podejmowania działań następczych</w:t>
      </w:r>
    </w:p>
    <w:p>
      <w:pPr>
        <w:pStyle w:val="UMTrepunktu"/>
        <w:spacing w:before="0" w:after="0"/>
        <w:rPr>
          <w:rFonts w:ascii="Calibri" w:hAnsi="Calibri" w:cs="Calibri" w:asciiTheme="minorHAnsi" w:cstheme="minorHAnsi" w:hAnsiTheme="minorHAnsi"/>
          <w:bCs/>
          <w:i/>
          <w:i/>
          <w:iCs/>
          <w:strike/>
          <w:color w:val="000000"/>
          <w:sz w:val="24"/>
        </w:rPr>
      </w:pPr>
      <w:r>
        <w:rPr>
          <w:rFonts w:cs="Calibri" w:cstheme="minorHAnsi" w:ascii="Calibri" w:hAnsi="Calibri"/>
          <w:bCs/>
          <w:i/>
          <w:iCs/>
          <w:strike/>
          <w:color w:val="000000"/>
          <w:sz w:val="24"/>
        </w:rPr>
      </w:r>
    </w:p>
    <w:p>
      <w:pPr>
        <w:pStyle w:val="UMTytulpodrozdzialu"/>
        <w:spacing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i/>
          <w:iCs/>
          <w:color w:val="000000"/>
          <w:szCs w:val="24"/>
        </w:rPr>
        <w:t>Słownik pojęć</w:t>
      </w:r>
      <w:r>
        <w:rPr>
          <w:rStyle w:val="Zakotwiczenieprzypisudolnego"/>
          <w:rFonts w:cs="Calibri" w:ascii="Calibri" w:hAnsi="Calibri" w:asciiTheme="minorHAnsi" w:cstheme="minorHAnsi" w:hAnsiTheme="minorHAnsi"/>
          <w:i/>
          <w:iCs/>
          <w:color w:val="000000"/>
          <w:szCs w:val="24"/>
        </w:rPr>
        <w:footnoteReference w:id="4"/>
      </w:r>
    </w:p>
    <w:p>
      <w:pPr>
        <w:pStyle w:val="UMTresctekstu"/>
        <w:spacing w:before="0" w:after="0"/>
        <w:ind w:hanging="0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§ 1</w:t>
      </w:r>
    </w:p>
    <w:p>
      <w:pPr>
        <w:pStyle w:val="UMTresctekstu"/>
        <w:spacing w:before="0" w:after="0"/>
        <w:ind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Przez użyte – w </w:t>
      </w:r>
      <w:r>
        <w:rPr>
          <w:rStyle w:val="Domylnaczcionkaakapitu1"/>
          <w:rFonts w:cs="Calibri" w:ascii="Calibri" w:hAnsi="Calibri" w:asciiTheme="minorHAnsi" w:cstheme="minorHAnsi" w:hAnsiTheme="minorHAnsi"/>
          <w:i/>
          <w:color w:val="000000"/>
          <w:sz w:val="24"/>
        </w:rPr>
        <w:t xml:space="preserve">wewnętrznej procedurze dokonywania zgłoszeń naruszeń prawa i podejmowania działań następczych,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 xml:space="preserve">zwaną dalej wewnętrzną procedurą –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określenia rozumie się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  <w:sz w:val="24"/>
        </w:rPr>
        <w:footnoteReference w:id="5"/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:</w:t>
      </w:r>
    </w:p>
    <w:p>
      <w:pPr>
        <w:pStyle w:val="UMTresctekstu"/>
        <w:numPr>
          <w:ilvl w:val="0"/>
          <w:numId w:val="3"/>
        </w:numPr>
        <w:spacing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anonim – zgłoszenie dokonane przez osobę, co do której nie jest możliwa identyfikacja tożsamości;</w:t>
      </w:r>
    </w:p>
    <w:p>
      <w:pPr>
        <w:pStyle w:val="UMTresctekstu"/>
        <w:numPr>
          <w:ilvl w:val="0"/>
          <w:numId w:val="68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działanie odwetowe – bezpośrednie lub pośrednie działanie lub zaniechanie w kontekście związanym z pracą, które jest spowodowane dokonanym zgłoszeniem lub ujawnieniem publicznym i które narusza lub może naruszyć prawa sygnalisty lub wyrządza, lub może wyrządzić nieuzasadnioną szkodę sygnaliście, w tym niezasadne inicjowanie postępowań przeciwko sygnaliście;</w:t>
      </w:r>
    </w:p>
    <w:p>
      <w:pPr>
        <w:pStyle w:val="UMTresctekstu"/>
        <w:numPr>
          <w:ilvl w:val="0"/>
          <w:numId w:val="69"/>
        </w:numPr>
        <w:spacing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działanie następcze – działanie podjęte przez upoważnionego pracownika Urzędu/Starostwa            w celu oceny prawdziwości informacji zawartych w zgłoszeniu oraz, w celu przeciwdziałania  naruszeniu prawa będącemu przedmiotem zgłoszenia, w szczególności przez postępowanie wyjaśniające, wszczęcie kontroli lub postępowania administracyjnego, wniesienie oskarżenia, działanie podejmowane w celu odzyskania środków finansowych lub zamknięcie procedury realizowanej w ramach wewnętrznej procedury;</w:t>
      </w:r>
    </w:p>
    <w:p>
      <w:pPr>
        <w:pStyle w:val="UMTresctekstu"/>
        <w:numPr>
          <w:ilvl w:val="0"/>
          <w:numId w:val="70"/>
        </w:numPr>
        <w:spacing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informacje o naruszeniu prawa – informacje, w tym uzasadnione podejrzenie dotyczące zaistniałego lub potencjalnego naruszenia prawa, do którego doszło lub prawdopodobnie dojdzie w Urzędzie/Starostwie, w którym sygnalista uczestniczył w procesie rekrutacji lub innych negocjacjach poprzedzających zawarcie umowy, pracuje lub pracował, lub w innym podmiocie prawnym, z którym sygnalista utrzymuje lub utrzymywał kontakt w kontekście związanym z pracą, lub informację dotyczącą próby ukrycia takiego naruszenia prawa;</w:t>
      </w:r>
    </w:p>
    <w:p>
      <w:pPr>
        <w:pStyle w:val="UMTresctekstu"/>
        <w:numPr>
          <w:ilvl w:val="0"/>
          <w:numId w:val="71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informacje zwrotne – informacje na temat planowanych lub podjętych działań następczych                i powodów takich działań przekazane sygnaliście;</w:t>
      </w:r>
    </w:p>
    <w:p>
      <w:pPr>
        <w:pStyle w:val="UMTresctekstu"/>
        <w:numPr>
          <w:ilvl w:val="0"/>
          <w:numId w:val="72"/>
        </w:numPr>
        <w:spacing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kontekst związany z pracą – przeszłe, obecne lub przyszłe działania związane z wykonywaniem pracy na podstawie stosunku pracy lub innego stosunku prawnego stanowiącego podstawę świadczenia pracy lub usług, lub pełnienia funkcji w Urzędzie/Starostwie, lub pełnienia służby, w ramach których uzyskano informację o naruszeniu prawa oraz istnieje możliwość doświadczenia działań odwetowych;</w:t>
      </w:r>
    </w:p>
    <w:p>
      <w:pPr>
        <w:pStyle w:val="UMTresctekstu"/>
        <w:numPr>
          <w:ilvl w:val="0"/>
          <w:numId w:val="73"/>
        </w:numPr>
        <w:spacing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naruszenie prawa – działanie lub zaniechanie, które jest niezgodne z prawem lub ma na celu obejście prawa;</w:t>
      </w:r>
    </w:p>
    <w:p>
      <w:pPr>
        <w:pStyle w:val="UMTresctekstu"/>
        <w:numPr>
          <w:ilvl w:val="0"/>
          <w:numId w:val="74"/>
        </w:numPr>
        <w:spacing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osoba pomagająca w dokonaniu zgłoszenia – osoba fizyczna, która pomaga sygnaliście w zgłoszeniu lub ujawnieniu publicznemu w kontekście związanym z pracą i której pomoc nie powinna zostać ujawniona;</w:t>
      </w:r>
    </w:p>
    <w:p>
      <w:pPr>
        <w:pStyle w:val="UMTresctekstu"/>
        <w:numPr>
          <w:ilvl w:val="0"/>
          <w:numId w:val="75"/>
        </w:numPr>
        <w:spacing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osoba, której dotyczy zgłoszenie – osoba fizyczna lub prawna, lub jednostka organizacyjna nieposiadająca osobowości prawnej, której ustawa przyznaje zdolność prawną, która jest wskazana w zgłoszeniu lub ujawnieniu publicznym jako osoba, która dopuściła się naruszenia prawa lub jako osoba, z którą osoba, która dopuściła się naruszenia prawa, jest powiązana;</w:t>
      </w:r>
    </w:p>
    <w:p>
      <w:pPr>
        <w:pStyle w:val="UMTresctekstu"/>
        <w:numPr>
          <w:ilvl w:val="0"/>
          <w:numId w:val="76"/>
        </w:numPr>
        <w:spacing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osoba powiązana z sygnalistą – osoba fizyczna, która może doświadczyć działań odwetowych,  w tym współpracownik lub osoba najbliższa sygnaliście, tj. małżonek, wstępny, zstępny, rodzeństwo, powinowaty w tej samej linii lub stopniu, osoba pozostająca w stosunku przysposobienia oraz jej małżonek, a także osoba pozostająca we wspólnym pożyciu;</w:t>
      </w:r>
    </w:p>
    <w:p>
      <w:pPr>
        <w:pStyle w:val="UMTresctekstu"/>
        <w:numPr>
          <w:ilvl w:val="0"/>
          <w:numId w:val="77"/>
        </w:numPr>
        <w:spacing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 xml:space="preserve">ujawnienie publiczne – podanie informacji o naruszeniu prawa do wiadomości publicznej; </w:t>
      </w:r>
    </w:p>
    <w:p>
      <w:pPr>
        <w:pStyle w:val="UMTresctekstu"/>
        <w:numPr>
          <w:ilvl w:val="0"/>
          <w:numId w:val="78"/>
        </w:numPr>
        <w:spacing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z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głoszenie wewnętrzne – przekazanie ustne lub pisemne Wójtowi/Burmistrzowi/Prezydentowi/Staroście informacji o naruszeniu prawa;</w:t>
      </w:r>
    </w:p>
    <w:p>
      <w:pPr>
        <w:pStyle w:val="UMTresctekstu"/>
        <w:numPr>
          <w:ilvl w:val="0"/>
          <w:numId w:val="79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zgłoszenie zewnętrzne - przekazanie ustne lub pisemne Rzecznikowi Prawo Obywatelskich albo organowi publicznemu informacji o naruszeniu prawa.</w:t>
      </w:r>
    </w:p>
    <w:p>
      <w:pPr>
        <w:pStyle w:val="UMTresctekstu"/>
        <w:spacing w:before="0" w:after="0"/>
        <w:ind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UMTresctekstu"/>
        <w:spacing w:before="0" w:after="0"/>
        <w:ind w:hanging="0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§ 2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  <w:sz w:val="24"/>
        </w:rPr>
        <w:footnoteReference w:id="6"/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ab/>
        <w:t>Sygnalistą jest osoba fizyczna, która zgłasza lub ujawnia publicznie informacje o naruszeniu prawa uzyskane w kontekście związanym z pracą, w tym: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pracownik;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pracownik tymczasowy;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osoba świadcząca pracę na innej podstawie niż stosunek pracy, w tym na podstawie umowy cywilnoprawnej;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przedsiębiorca;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prokurent;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akcjonariusz lub wspólnik;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członek organu osoby prawnej lub jednostki organizacyjnej nieposiadającej osobowości prawnej;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osoba świadcząca pracę pod nadzorem i kierownictwem wykonawcy, podwykonawcy lub dostawcy;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stażysta; 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praktykant;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wolontariusz; 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funkcjonariusz w rozumieniu art. 1 ust. 1 ustawy z dnia 18 lutego 1994 </w:t>
      </w:r>
      <w:r>
        <w:rPr>
          <w:rFonts w:cs="Calibri" w:ascii="Calibri" w:hAnsi="Calibri" w:asciiTheme="minorHAnsi" w:cstheme="minorHAnsi" w:hAnsiTheme="minorHAnsi"/>
          <w:color w:val="000000"/>
        </w:rPr>
        <w:t>r. o zaopatrzeniu emerytalnym funkcjonariuszy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 Policji, Agencji Bezpieczeństwa Wewnętrznego, Agencji Wywiadu, Służby Kontrwywiadu Wojskowego, Służby Wywiadu Wojskowego, Centralnego Biura Antykorupcyjnego, Straży Granicznej, Straży Marszałkowskiej, Służby Ochrony Państwa, Państwowej Straży Pożarnej, Służby Celno-Skarbowej i służby Więziennej i ich rodzin;</w:t>
      </w:r>
    </w:p>
    <w:p>
      <w:pPr>
        <w:pStyle w:val="Standard"/>
        <w:numPr>
          <w:ilvl w:val="0"/>
          <w:numId w:val="3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żołnierz w rozumieniu art. 2 pkt 39 ustawy z dnia 11 marca 2022 r. o obronie Ojczyzny.</w:t>
      </w:r>
    </w:p>
    <w:p>
      <w:pPr>
        <w:pStyle w:val="UMTresctekstu"/>
        <w:spacing w:before="0" w:after="0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  <w:sz w:val="24"/>
        </w:rPr>
      </w:pPr>
      <w:r>
        <w:rPr>
          <w:rFonts w:cs="Calibri" w:cstheme="minorHAnsi" w:ascii="Calibri" w:hAnsi="Calibri"/>
          <w:color w:val="000000"/>
          <w:sz w:val="24"/>
        </w:rPr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i/>
          <w:iCs/>
          <w:color w:val="000000"/>
        </w:rPr>
        <w:t>Przedmiot zgłoszenia</w:t>
      </w:r>
    </w:p>
    <w:p>
      <w:pPr>
        <w:pStyle w:val="UMTresctekstu"/>
        <w:spacing w:before="0" w:after="0"/>
        <w:ind w:hanging="0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§ 3</w:t>
      </w:r>
    </w:p>
    <w:p>
      <w:pPr>
        <w:pStyle w:val="Standard"/>
        <w:numPr>
          <w:ilvl w:val="0"/>
          <w:numId w:val="35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Przedmiotem zgłoszenia wewnętrznego mogą być działania lub zaniechania niezgodne z prawem lub mające na celu obejście prawa w zakresie dziedzin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</w:rPr>
        <w:footnoteReference w:id="7"/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: 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korupcji;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zamówień publicznych;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usług, produktów i rynków finansowych;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przeciwdziałania praniu pieniędzy oraz finansowaniu terroryzmu;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bezpieczeństwa produktów i ich zgodności z wymogami;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bezpieczeństwa transportu;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ochrony środowiska;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ochrony radiologicznej i bezpieczeństwa jądrowego;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bezpieczeństwa żywności i pasz;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zdrowia i dobrostanu zwierząt;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zdrowia publicznego;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ochrony konsumentów;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ochrony prywatności i danych osobowych;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bezpieczeństwa sieci i systemów teleinformatycznych;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interesów finansowych Skarbu Państwa RP, jednostki samorządu terytorialnego oraz Unii Europejskiej;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rynku wewnętrznego Unii Europejskiej, w tym publicznoprawnych zasad konkurencji i pomocy państwa oraz opodatkowania osób prawnych;</w:t>
      </w:r>
    </w:p>
    <w:p>
      <w:pPr>
        <w:pStyle w:val="UMTrescpunktu"/>
        <w:numPr>
          <w:ilvl w:val="0"/>
          <w:numId w:val="36"/>
        </w:numPr>
        <w:spacing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 xml:space="preserve">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konstytucyjnych wolności i praw człowieka i obywatela – występujące w stosunkach jednostki z organami władzy publicznej i niezwiązane z dziedzinami wskazanymi w pkt 1-16.</w:t>
      </w:r>
    </w:p>
    <w:p>
      <w:pPr>
        <w:pStyle w:val="Standard"/>
        <w:numPr>
          <w:ilvl w:val="0"/>
          <w:numId w:val="35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Dodatkowo przedmiotem zgłoszenia wewnętrznego może być możliwość zgłoszenia informacji o naruszeniach dotyczących obowiązującego w Urzędzie kodeksu etyki pracowników Urzędu.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</w:rPr>
        <w:footnoteReference w:id="8"/>
      </w:r>
    </w:p>
    <w:p>
      <w:pPr>
        <w:pStyle w:val="UMnr"/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i/>
          <w:iCs/>
          <w:color w:val="000000"/>
          <w:sz w:val="24"/>
        </w:rPr>
        <w:t>Role i odpowiedzialności</w:t>
      </w:r>
      <w:r>
        <w:rPr>
          <w:rStyle w:val="Zakotwiczenieprzypisudolnego"/>
          <w:rFonts w:cs="Calibri" w:ascii="Calibri" w:hAnsi="Calibri" w:asciiTheme="minorHAnsi" w:cstheme="minorHAnsi" w:hAnsiTheme="minorHAnsi"/>
          <w:b/>
          <w:bCs/>
          <w:i/>
          <w:iCs/>
          <w:color w:val="000000"/>
          <w:sz w:val="24"/>
        </w:rPr>
        <w:footnoteReference w:id="9"/>
      </w:r>
    </w:p>
    <w:p>
      <w:pPr>
        <w:pStyle w:val="UMnr"/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§ 4</w:t>
      </w:r>
    </w:p>
    <w:p>
      <w:pPr>
        <w:pStyle w:val="UMTretekstu"/>
        <w:numPr>
          <w:ilvl w:val="0"/>
          <w:numId w:val="22"/>
        </w:numPr>
        <w:spacing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Za zapewnienie wdrożenia wewnętrznej procedury, w tym zapewnienie zasobów niezbędnych do realizacji zadań wynikających z niniejszej procedury odpowiada Prezydent/Burmistrz/Wójt/Starosta.</w:t>
      </w:r>
    </w:p>
    <w:p>
      <w:pPr>
        <w:pStyle w:val="UMTretekstu"/>
        <w:numPr>
          <w:ilvl w:val="0"/>
          <w:numId w:val="22"/>
        </w:numPr>
        <w:spacing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Prezydent/Burmistrz/Wójt/Starosta nadaje w formie pisemnej imienne upoważnienia pracownikom wykonującym czynności w ramach wewnętrznej procedury oraz odbiera od nich zobowiązania do zachowania tajemnicy w zakresie informacji i danych osobowych, które uzyskały w ramach przyjmowania i weryfikacji zgłoszeń wewnętrznych, oraz podejmowania działań następczych, także po ustaniu stosunku pracy lub innego stosunku prawnego, w ramach którego wykonywały tę pracę.</w:t>
      </w:r>
    </w:p>
    <w:p>
      <w:pPr>
        <w:pStyle w:val="Standard"/>
        <w:numPr>
          <w:ilvl w:val="0"/>
          <w:numId w:val="22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Pracownicy uczestniczący w działaniach następczych zobowiązani są do dołożenia należytej staranności, aby uniknąć podjęcia decyzji na podstawie chybionych i bezpodstawnych oskarżeń, niemających potwierdzenia w faktach i zebranych dowodach oraz z zachowaniem poszanowania godności i dobrego imienia pracowników i osób, których zgłoszenie dotyczy.</w:t>
      </w:r>
    </w:p>
    <w:p>
      <w:pPr>
        <w:pStyle w:val="UMTretekstu"/>
        <w:numPr>
          <w:ilvl w:val="0"/>
          <w:numId w:val="22"/>
        </w:numPr>
        <w:spacing w:before="0" w:after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Z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>a wykonywanie zadań wynikających z wewnętrznej procedury odpowiada:</w:t>
      </w:r>
    </w:p>
    <w:p>
      <w:pPr>
        <w:pStyle w:val="Standard"/>
        <w:numPr>
          <w:ilvl w:val="0"/>
          <w:numId w:val="4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color w:val="000000"/>
        </w:rPr>
        <w:t>P</w:t>
      </w:r>
      <w:bookmarkStart w:id="3" w:name="_Hlk168409001"/>
      <w:r>
        <w:rPr>
          <w:rFonts w:cs="Calibri" w:ascii="Calibri" w:hAnsi="Calibri" w:asciiTheme="minorHAnsi" w:cstheme="minorHAnsi" w:hAnsiTheme="minorHAnsi"/>
          <w:b/>
          <w:color w:val="000000"/>
        </w:rPr>
        <w:t>rezydent/Burmistrz/Wójt/Starost</w:t>
      </w:r>
      <w:bookmarkEnd w:id="3"/>
      <w:r>
        <w:rPr>
          <w:rFonts w:cs="Calibri" w:ascii="Calibri" w:hAnsi="Calibri" w:asciiTheme="minorHAnsi" w:cstheme="minorHAnsi" w:hAnsiTheme="minorHAnsi"/>
          <w:b/>
          <w:color w:val="000000"/>
        </w:rPr>
        <w:t>a,</w:t>
      </w:r>
      <w:r>
        <w:rPr>
          <w:rStyle w:val="Domylnaczcionkaakapitu1"/>
          <w:rFonts w:cs="Calibri" w:ascii="Calibri" w:hAnsi="Calibri" w:asciiTheme="minorHAnsi" w:cstheme="minorHAnsi" w:hAnsiTheme="minorHAnsi"/>
          <w:b/>
          <w:color w:val="000000"/>
        </w:rPr>
        <w:t xml:space="preserve">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który aktywnie uczestniczy w realizacji niniejszej procedury, w szczególności poprzez:</w:t>
      </w:r>
    </w:p>
    <w:p>
      <w:pPr>
        <w:pStyle w:val="Standard"/>
        <w:numPr>
          <w:ilvl w:val="0"/>
          <w:numId w:val="5"/>
        </w:numPr>
        <w:tabs>
          <w:tab w:val="clear" w:pos="720"/>
          <w:tab w:val="left" w:pos="-420" w:leader="none"/>
        </w:tabs>
        <w:ind w:left="1134" w:hanging="11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osobiste zaangażowanie w rozwój systemu przeciwdziałania nieprawidłowościom, </w:t>
      </w:r>
    </w:p>
    <w:p>
      <w:pPr>
        <w:pStyle w:val="Standard"/>
        <w:numPr>
          <w:ilvl w:val="0"/>
          <w:numId w:val="5"/>
        </w:numPr>
        <w:tabs>
          <w:tab w:val="clear" w:pos="720"/>
          <w:tab w:val="left" w:pos="-420" w:leader="none"/>
        </w:tabs>
        <w:ind w:left="1418" w:hanging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promowanie kultury organizacyjnej opartej na przeciwdziałaniu wszelkim nieprawidłowościom,</w:t>
      </w:r>
    </w:p>
    <w:p>
      <w:pPr>
        <w:pStyle w:val="Standard"/>
        <w:numPr>
          <w:ilvl w:val="0"/>
          <w:numId w:val="5"/>
        </w:numPr>
        <w:tabs>
          <w:tab w:val="clear" w:pos="720"/>
          <w:tab w:val="left" w:pos="-420" w:leader="none"/>
        </w:tabs>
        <w:ind w:left="1418" w:hanging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zapewnienie środków finansowych, organizacyjnych i kadrowych umożliwiających rozwój systemu przeciwdziałania nieprawidłowościom,</w:t>
      </w:r>
    </w:p>
    <w:p>
      <w:pPr>
        <w:pStyle w:val="Standard"/>
        <w:numPr>
          <w:ilvl w:val="0"/>
          <w:numId w:val="5"/>
        </w:numPr>
        <w:tabs>
          <w:tab w:val="clear" w:pos="720"/>
          <w:tab w:val="left" w:pos="-420" w:leader="none"/>
        </w:tabs>
        <w:ind w:left="1418" w:hanging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ustalenie i podział kompetencji pomiędzy pracowników Urzędu/Starostwa, w sposób zapewniający efektywność systemu przeciwdziałania nieprawidłowościom;</w:t>
      </w:r>
    </w:p>
    <w:p>
      <w:pPr>
        <w:pStyle w:val="Standard"/>
        <w:numPr>
          <w:ilvl w:val="0"/>
          <w:numId w:val="4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b/>
          <w:color w:val="000000"/>
        </w:rPr>
        <w:t xml:space="preserve">Zastępca </w:t>
      </w:r>
      <w:r>
        <w:rPr>
          <w:rFonts w:cs="Calibri" w:ascii="Calibri" w:hAnsi="Calibri" w:asciiTheme="minorHAnsi" w:cstheme="minorHAnsi" w:hAnsiTheme="minorHAnsi"/>
          <w:b/>
          <w:color w:val="000000"/>
        </w:rPr>
        <w:t>Prezydenta/Zastępca Burmistrza/Zastępca Wójta</w:t>
      </w:r>
      <w:r>
        <w:rPr>
          <w:rStyle w:val="Domylnaczcionkaakapitu1"/>
          <w:rFonts w:cs="Calibri" w:ascii="Calibri" w:hAnsi="Calibri" w:asciiTheme="minorHAnsi" w:cstheme="minorHAnsi" w:hAnsiTheme="minorHAnsi"/>
          <w:b/>
          <w:color w:val="000000"/>
        </w:rPr>
        <w:t>, sekretarz gminy, skarbnik gminy/członek zarządu powiatu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 (inne funkcje) sprawują bezpośredni nadzór nad skutecznością wdrożonego systemu przeciwdziałania nieprawidłowościom, w szczególności poprzez:</w:t>
      </w:r>
    </w:p>
    <w:p>
      <w:pPr>
        <w:pStyle w:val="Standard"/>
        <w:numPr>
          <w:ilvl w:val="0"/>
          <w:numId w:val="6"/>
        </w:numPr>
        <w:ind w:left="1418" w:hanging="284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m</w:t>
      </w:r>
      <w:r>
        <w:rPr>
          <w:rStyle w:val="Domylnaczcionkaakapitu1"/>
          <w:rFonts w:cs="Calibri" w:ascii="Calibri" w:hAnsi="Calibri" w:asciiTheme="minorHAnsi" w:cstheme="minorHAnsi" w:hAnsiTheme="minorHAnsi"/>
          <w:bCs/>
          <w:color w:val="000000"/>
        </w:rPr>
        <w:t>onitorowanie</w:t>
      </w:r>
      <w:r>
        <w:rPr>
          <w:rFonts w:cs="Calibri" w:ascii="Calibri" w:hAnsi="Calibri" w:asciiTheme="minorHAnsi" w:cstheme="minorHAnsi" w:hAnsiTheme="minorHAnsi"/>
          <w:color w:val="000000"/>
        </w:rPr>
        <w:t xml:space="preserve"> przestrzegania ustalonych zasad postępowania przez podległych pracowników,</w:t>
      </w:r>
    </w:p>
    <w:p>
      <w:pPr>
        <w:pStyle w:val="Standard"/>
        <w:numPr>
          <w:ilvl w:val="0"/>
          <w:numId w:val="6"/>
        </w:numPr>
        <w:ind w:left="1418" w:hanging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promowanie kultury organizacyjnej opartej na przeciwdziałaniu wszelkim nieprawidłowościom,</w:t>
      </w:r>
    </w:p>
    <w:p>
      <w:pPr>
        <w:pStyle w:val="Standard"/>
        <w:numPr>
          <w:ilvl w:val="0"/>
          <w:numId w:val="6"/>
        </w:numPr>
        <w:ind w:left="1418" w:hanging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zgłaszanie naruszeń właściwym organom;</w:t>
      </w:r>
    </w:p>
    <w:p>
      <w:pPr>
        <w:pStyle w:val="Standard"/>
        <w:numPr>
          <w:ilvl w:val="0"/>
          <w:numId w:val="4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b/>
          <w:color w:val="000000"/>
        </w:rPr>
        <w:t>pracownik/komórka organizacyjna lub stanowisko/funkcja utworzone w celu realizacji obowiązków wynikających z wewnętrznej procedury,</w:t>
      </w:r>
      <w:r>
        <w:rPr>
          <w:rStyle w:val="Zakotwiczenieprzypisudolnego"/>
          <w:rFonts w:cs="Calibri" w:ascii="Calibri" w:hAnsi="Calibri" w:asciiTheme="minorHAnsi" w:cstheme="minorHAnsi" w:hAnsiTheme="minorHAnsi"/>
          <w:b/>
          <w:color w:val="000000"/>
        </w:rPr>
        <w:footnoteReference w:id="10"/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 w szczególności poprzez:</w:t>
      </w:r>
    </w:p>
    <w:p>
      <w:pPr>
        <w:pStyle w:val="Standard"/>
        <w:numPr>
          <w:ilvl w:val="0"/>
          <w:numId w:val="7"/>
        </w:numPr>
        <w:ind w:left="1418" w:hanging="284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przyjmowanie zgłoszeń wewnętrznych,</w:t>
      </w:r>
    </w:p>
    <w:p>
      <w:pPr>
        <w:pStyle w:val="Standard"/>
        <w:numPr>
          <w:ilvl w:val="0"/>
          <w:numId w:val="7"/>
        </w:numPr>
        <w:ind w:left="1418" w:hanging="284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prowadzenie rejestru zgłoszeń wewnętrznych,</w:t>
      </w:r>
    </w:p>
    <w:p>
      <w:pPr>
        <w:pStyle w:val="Standard"/>
        <w:numPr>
          <w:ilvl w:val="0"/>
          <w:numId w:val="7"/>
        </w:numPr>
        <w:ind w:left="1418" w:hanging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podejmowanie działań następczych,</w:t>
      </w:r>
    </w:p>
    <w:p>
      <w:pPr>
        <w:pStyle w:val="Standard"/>
        <w:numPr>
          <w:ilvl w:val="0"/>
          <w:numId w:val="7"/>
        </w:numPr>
        <w:ind w:left="1418" w:hanging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spełnienie obowiązku informacyjnego wobec sygnalisty,</w:t>
      </w:r>
    </w:p>
    <w:p>
      <w:pPr>
        <w:pStyle w:val="Standard"/>
        <w:numPr>
          <w:ilvl w:val="0"/>
          <w:numId w:val="7"/>
        </w:numPr>
        <w:ind w:left="1418" w:hanging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zapewnienie poufności sygnaliście, osobie związanej z sygnalistą, osobie pomagającej w dokonaniu zgłoszenia oraz osobie wskazanej w zgłoszeniu,</w:t>
      </w:r>
    </w:p>
    <w:p>
      <w:pPr>
        <w:pStyle w:val="Standard"/>
        <w:numPr>
          <w:ilvl w:val="0"/>
          <w:numId w:val="7"/>
        </w:numPr>
        <w:ind w:left="1418" w:hanging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zapewnienie bezstronności podczas prowadzonych działań następczych,</w:t>
      </w:r>
    </w:p>
    <w:p>
      <w:pPr>
        <w:pStyle w:val="Standard"/>
        <w:numPr>
          <w:ilvl w:val="0"/>
          <w:numId w:val="7"/>
        </w:numPr>
        <w:ind w:left="1418" w:hanging="284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prowadzenie kampanii informacyjnych wśród pracowników Urzędu/Starostwa zmierzających do utrwalenia pozytywnego postrzegania działań w zakresie zgłoszeń nieprawidłowości oraz propagowania postawy obywatelskiej odpowiedzialności,</w:t>
      </w:r>
    </w:p>
    <w:p>
      <w:pPr>
        <w:pStyle w:val="Standard"/>
        <w:numPr>
          <w:ilvl w:val="0"/>
          <w:numId w:val="7"/>
        </w:numPr>
        <w:ind w:left="1418" w:hanging="284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wnioskowanie do </w:t>
      </w:r>
      <w:bookmarkStart w:id="4" w:name="_Hlk168409001_kopia_1"/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Prezydenta/Burmistrza/Wójta/Starosty </w:t>
      </w:r>
      <w:bookmarkEnd w:id="4"/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o</w:t>
      </w:r>
      <w:r>
        <w:rPr>
          <w:rStyle w:val="Domylnaczcionkaakapitu1"/>
          <w:rFonts w:cs="Calibri" w:ascii="Calibri" w:hAnsi="Calibri" w:asciiTheme="minorHAnsi" w:cstheme="minorHAnsi" w:hAnsiTheme="minorHAnsi"/>
          <w:b/>
          <w:color w:val="000000"/>
        </w:rPr>
        <w:t xml:space="preserve">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nadanie upoważnień,             o których mowa w ust. 2,</w:t>
      </w:r>
    </w:p>
    <w:p>
      <w:pPr>
        <w:pStyle w:val="Standard"/>
        <w:numPr>
          <w:ilvl w:val="0"/>
          <w:numId w:val="7"/>
        </w:numPr>
        <w:ind w:left="1418" w:hanging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odbiór oświadczeń o zapoznaniu się pracowników z niniejszą procedurą;</w:t>
      </w:r>
    </w:p>
    <w:p>
      <w:pPr>
        <w:pStyle w:val="Standard"/>
        <w:numPr>
          <w:ilvl w:val="0"/>
          <w:numId w:val="4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b/>
          <w:bCs/>
          <w:color w:val="000000"/>
        </w:rPr>
        <w:t>k</w:t>
      </w:r>
      <w:r>
        <w:rPr>
          <w:rStyle w:val="Domylnaczcionkaakapitu1"/>
          <w:rFonts w:cs="Calibri" w:ascii="Calibri" w:hAnsi="Calibri" w:asciiTheme="minorHAnsi" w:cstheme="minorHAnsi" w:hAnsiTheme="minorHAnsi"/>
          <w:b/>
          <w:color w:val="000000"/>
        </w:rPr>
        <w:t>ierownicy komórek organizacyjnych Urzędu/Starostwa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 współpracują z komórką organizacyjną/stanowiskiem wskazanym w pkt. 3 w zakresie:</w:t>
      </w:r>
    </w:p>
    <w:p>
      <w:pPr>
        <w:pStyle w:val="ListParagraph"/>
        <w:widowControl/>
        <w:numPr>
          <w:ilvl w:val="0"/>
          <w:numId w:val="8"/>
        </w:numPr>
        <w:ind w:left="1276" w:hanging="283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monitorowania przestrzegania zasad postępowania przez podległych pracowników,</w:t>
      </w:r>
    </w:p>
    <w:p>
      <w:pPr>
        <w:pStyle w:val="ListParagraph"/>
        <w:widowControl/>
        <w:numPr>
          <w:ilvl w:val="0"/>
          <w:numId w:val="8"/>
        </w:numPr>
        <w:ind w:left="1276" w:hanging="283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  <w:szCs w:val="24"/>
        </w:rPr>
        <w:t>wyjaśniania okoliczności zdarzeń opisanych w zgłoszeniu wewnętrznym na podstawie pisemnego upoważnienia,</w:t>
      </w:r>
    </w:p>
    <w:p>
      <w:pPr>
        <w:pStyle w:val="ListParagraph"/>
        <w:widowControl/>
        <w:numPr>
          <w:ilvl w:val="0"/>
          <w:numId w:val="8"/>
        </w:numPr>
        <w:ind w:left="1276" w:hanging="283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zapewnienia w podległej komórce organizacyjnej warunków sprzyjających wczesnemu wykrywaniu i usuwaniu nieprawidłowości;</w:t>
      </w:r>
    </w:p>
    <w:p>
      <w:pPr>
        <w:pStyle w:val="Standard"/>
        <w:numPr>
          <w:ilvl w:val="0"/>
          <w:numId w:val="4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b/>
          <w:bCs/>
          <w:color w:val="000000"/>
        </w:rPr>
        <w:t>p</w:t>
      </w:r>
      <w:r>
        <w:rPr>
          <w:rStyle w:val="Domylnaczcionkaakapitu1"/>
          <w:rFonts w:cs="Calibri" w:ascii="Calibri" w:hAnsi="Calibri" w:asciiTheme="minorHAnsi" w:cstheme="minorHAnsi" w:hAnsiTheme="minorHAnsi"/>
          <w:b/>
          <w:color w:val="000000"/>
        </w:rPr>
        <w:t>racownicy Urzędu/Starostwa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, w szczególności:</w:t>
      </w:r>
    </w:p>
    <w:p>
      <w:pPr>
        <w:pStyle w:val="Standard"/>
        <w:numPr>
          <w:ilvl w:val="0"/>
          <w:numId w:val="9"/>
        </w:numPr>
        <w:ind w:left="1134" w:hanging="283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przestrzegają wartości etycznych i przepisów prawnych przy wykonywaniu powierzonych zadań,</w:t>
      </w:r>
    </w:p>
    <w:p>
      <w:pPr>
        <w:pStyle w:val="Standard"/>
        <w:numPr>
          <w:ilvl w:val="0"/>
          <w:numId w:val="9"/>
        </w:numPr>
        <w:ind w:left="1134" w:hanging="283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dokonują analizy ryzyk i informują bezpośredniego przełożonego o potencjalnych ryzykach w realizowanych zadaniach,</w:t>
      </w:r>
    </w:p>
    <w:p>
      <w:pPr>
        <w:pStyle w:val="ListParagraph"/>
        <w:widowControl/>
        <w:numPr>
          <w:ilvl w:val="0"/>
          <w:numId w:val="9"/>
        </w:numPr>
        <w:ind w:left="1134" w:hanging="283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na bieżąco zgłaszają wszelkie zauważone nieprawidłowości,</w:t>
      </w:r>
    </w:p>
    <w:p>
      <w:pPr>
        <w:pStyle w:val="ListParagraph"/>
        <w:widowControl/>
        <w:numPr>
          <w:ilvl w:val="0"/>
          <w:numId w:val="9"/>
        </w:numPr>
        <w:ind w:left="1134" w:hanging="283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udostępniają informacje niezbędne do wyjaśnienia nieprawidłowości,</w:t>
      </w:r>
    </w:p>
    <w:p>
      <w:pPr>
        <w:pStyle w:val="ListParagraph"/>
        <w:widowControl/>
        <w:numPr>
          <w:ilvl w:val="0"/>
          <w:numId w:val="9"/>
        </w:numPr>
        <w:ind w:left="1134" w:hanging="283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w kontaktach wewnętrznych oraz w kontaktach z klientem zewnętrznym prezentują postawę sprzyjającą przeciwdziałaniu wszelkim nieprawidłowościom.</w:t>
      </w:r>
    </w:p>
    <w:p>
      <w:pPr>
        <w:pStyle w:val="ListParagraph"/>
        <w:widowControl/>
        <w:numPr>
          <w:ilvl w:val="0"/>
          <w:numId w:val="22"/>
        </w:numPr>
        <w:jc w:val="both"/>
        <w:rPr>
          <w:rFonts w:ascii="Calibri" w:hAnsi="Calibri" w:cs="Calibri" w:asciiTheme="minorHAnsi" w:cstheme="minorHAnsi" w:hAnsiTheme="minorHAnsi"/>
          <w:color w:val="000000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Pracownicy, o których mowa w ust. 2 pkt 1-4 angażują się w promowanie wśród pracowników Urzędu/Starostwa postrzegania działań w zakresie zgłaszania nieprawidłowości jako postawy obywatelskiej odpowiedzialności.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  <w:sz w:val="24"/>
          <w:szCs w:val="24"/>
        </w:rPr>
        <w:footnoteReference w:id="11"/>
      </w:r>
    </w:p>
    <w:p>
      <w:pPr>
        <w:pStyle w:val="ListParagraph"/>
        <w:widowControl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i/>
          <w:iCs/>
          <w:color w:val="000000"/>
        </w:rPr>
        <w:t>Kanały zgłoszeń</w:t>
      </w:r>
      <w:r>
        <w:rPr>
          <w:rStyle w:val="Zakotwiczenieprzypisudolnego"/>
          <w:rFonts w:cs="Calibri" w:ascii="Calibri" w:hAnsi="Calibri" w:asciiTheme="minorHAnsi" w:cstheme="minorHAnsi" w:hAnsiTheme="minorHAnsi"/>
          <w:b/>
          <w:bCs/>
          <w:i/>
          <w:iCs/>
          <w:color w:val="000000"/>
        </w:rPr>
        <w:footnoteReference w:id="12"/>
      </w:r>
    </w:p>
    <w:p>
      <w:pPr>
        <w:pStyle w:val="UMnr"/>
        <w:tabs>
          <w:tab w:val="clear" w:pos="720"/>
          <w:tab w:val="left" w:pos="0" w:leader="none"/>
        </w:tabs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§ 5</w:t>
      </w:r>
    </w:p>
    <w:p>
      <w:pPr>
        <w:pStyle w:val="Textbody"/>
        <w:numPr>
          <w:ilvl w:val="0"/>
          <w:numId w:val="23"/>
        </w:numPr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Zgłoszenia wewnętrzne mogą być dokonywane ustnie lub pisemnie.</w:t>
      </w:r>
    </w:p>
    <w:p>
      <w:pPr>
        <w:pStyle w:val="Textbody"/>
        <w:numPr>
          <w:ilvl w:val="0"/>
          <w:numId w:val="23"/>
        </w:numPr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Zgłoszenie wewnętrzne ustne może być dokonane:</w:t>
      </w:r>
    </w:p>
    <w:p>
      <w:pPr>
        <w:pStyle w:val="Textbody"/>
        <w:spacing w:lineRule="auto" w:line="240" w:before="0" w:after="0"/>
        <w:ind w:left="36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1) za pośrednictwem nagrywanej linii telefonicznej lub innego nagrywanego systemu komunikacji głosowej i dokumentowane jest za zgodą sygnalisty w formie:</w:t>
      </w:r>
    </w:p>
    <w:p>
      <w:pPr>
        <w:pStyle w:val="Textbody"/>
        <w:spacing w:lineRule="auto" w:line="240" w:before="0" w:after="0"/>
        <w:ind w:left="360" w:firstLine="207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a) nagrania rozmowy umożliwiającego jej wyszukanie, lub</w:t>
      </w:r>
    </w:p>
    <w:p>
      <w:pPr>
        <w:pStyle w:val="Textbody"/>
        <w:spacing w:lineRule="auto" w:line="240" w:before="0" w:after="0"/>
        <w:ind w:left="360" w:firstLine="207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b) kompletnej i dokładnej transkrypcji rozmowy dokonanej przez pracownika, o którym mowa w § 4 ust. 4 pkt 3. Sygnalista może dokonać sprawdzenia i zatwierdzenia transkrypcji rozmowy poprzez jej podpisanie,</w:t>
      </w:r>
    </w:p>
    <w:p>
      <w:pPr>
        <w:pStyle w:val="Textbody"/>
        <w:spacing w:lineRule="auto" w:line="240" w:before="0" w:after="0"/>
        <w:ind w:left="36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2) za pośrednictwem nienagrywanej linii telefonicznej lub innego nienagrywanego systemu komunikacji głosowej i dokumentowane jest w formie protokołu rozmowy, odtwarzającego dokładny przebieg tej rozmowy, sporządzonego przez pracownika, o którym mowa w § 4 ust. 4 pkt 3. Sygnalista może dokonać sprawdzenia i zatwierdzenia protokołu rozmowy poprzez jego podpisanie;</w:t>
      </w:r>
    </w:p>
    <w:p>
      <w:pPr>
        <w:pStyle w:val="Textbody"/>
        <w:spacing w:lineRule="auto" w:line="240" w:before="0" w:after="0"/>
        <w:ind w:left="36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3) na wniosek sygnalisty podczas bezpośredniego spotkania zorganizowanego w terminie 14 dni od dnia otrzymania ww. wniosku. W takim przypadku za zgodą sygnalisty zgłoszenie jest dokumentowane w formie:</w:t>
      </w:r>
    </w:p>
    <w:p>
      <w:pPr>
        <w:pStyle w:val="Textbody"/>
        <w:spacing w:lineRule="auto" w:line="240" w:before="0" w:after="0"/>
        <w:ind w:left="709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a)  nagrania rozmowy umożliwiającego jej wyszukanie, lub </w:t>
      </w:r>
    </w:p>
    <w:p>
      <w:pPr>
        <w:pStyle w:val="Textbody"/>
        <w:spacing w:lineRule="auto" w:line="240" w:before="0" w:after="0"/>
        <w:ind w:left="709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b) protokołu spotkania, odtwarzającego dokładny przebieg tego spotkania, przygotowanego przez pracownika, o którym mowa w § 4 ust. 4 pkt 3. Sygnalista może dokonać sprawdzenia, poprawienia i zatwierdzenia protokołu spotkania poprzez jego podpisanie.</w:t>
      </w:r>
    </w:p>
    <w:p>
      <w:pPr>
        <w:pStyle w:val="Textbody"/>
        <w:numPr>
          <w:ilvl w:val="0"/>
          <w:numId w:val="24"/>
        </w:numPr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Zgłoszenie wewnętrzne pisemne może być dokonane w postaci papierowej lub elektronicznej.</w:t>
      </w:r>
    </w:p>
    <w:p>
      <w:pPr>
        <w:pStyle w:val="Textbody"/>
        <w:numPr>
          <w:ilvl w:val="0"/>
          <w:numId w:val="24"/>
        </w:numPr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Zgłoszenia wewnętrzne, o których mowa w ust. 3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mogą być zgłaszane poprzez dedykowane, poufne kanały zgłoszeń funkcjonujące w Urzędzie/Starostwie, w szczególności:</w:t>
      </w:r>
    </w:p>
    <w:p>
      <w:pPr>
        <w:pStyle w:val="Textbody"/>
        <w:spacing w:lineRule="auto" w:line="240" w:before="0" w:after="0"/>
        <w:ind w:left="720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1) za pomocą poczty elektronicznej na adres: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 w:themeColor="text1"/>
        </w:rPr>
        <w:t>adresmailowydouzupełnienia@um</w:t>
      </w:r>
      <w:hyperlink r:id="rId3">
        <w:r>
          <w:rPr>
            <w:rStyle w:val="Czeinternetowe"/>
            <w:rFonts w:cs="Calibri" w:ascii="Calibri" w:hAnsi="Calibri" w:asciiTheme="minorHAnsi" w:cstheme="minorHAnsi" w:hAnsiTheme="minorHAnsi"/>
            <w:color w:val="000000" w:themeColor="text1"/>
            <w:u w:val="none"/>
          </w:rPr>
          <w:t>.eu</w:t>
        </w:r>
      </w:hyperlink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 (najlepiej w zaszyfrowanym pliku),</w:t>
      </w:r>
    </w:p>
    <w:p>
      <w:pPr>
        <w:pStyle w:val="Textbody"/>
        <w:spacing w:lineRule="auto" w:line="240" w:before="0" w:after="0"/>
        <w:ind w:left="720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 w:themeColor="text1"/>
        </w:rPr>
        <w:t xml:space="preserve">2)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poprzez stronę www….(</w:t>
      </w:r>
      <w:r>
        <w:rPr>
          <w:rStyle w:val="Domylnaczcionkaakapitu1"/>
          <w:rFonts w:cs="Calibri" w:ascii="Calibri" w:hAnsi="Calibri" w:asciiTheme="minorHAnsi" w:cstheme="minorHAnsi" w:hAnsiTheme="minorHAnsi"/>
          <w:i/>
          <w:color w:val="000000"/>
        </w:rPr>
        <w:t>należy podać adres strony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)…,</w:t>
      </w:r>
    </w:p>
    <w:p>
      <w:pPr>
        <w:pStyle w:val="Textbody"/>
        <w:spacing w:lineRule="auto" w:line="240" w:before="0" w:after="0"/>
        <w:ind w:left="720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3) z wykorzystaniem wewnętrznej sieci intranet,</w:t>
      </w:r>
    </w:p>
    <w:p>
      <w:pPr>
        <w:pStyle w:val="Textbody"/>
        <w:spacing w:lineRule="auto" w:line="240" w:before="0" w:after="0"/>
        <w:ind w:left="720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 w:themeColor="text1"/>
        </w:rPr>
        <w:t xml:space="preserve">4)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w formie listownej na adres:…(</w:t>
      </w:r>
      <w:r>
        <w:rPr>
          <w:rStyle w:val="Domylnaczcionkaakapitu1"/>
          <w:rFonts w:cs="Calibri" w:ascii="Calibri" w:hAnsi="Calibri" w:asciiTheme="minorHAnsi" w:cstheme="minorHAnsi" w:hAnsiTheme="minorHAnsi"/>
          <w:i/>
          <w:color w:val="000000"/>
        </w:rPr>
        <w:t>adres urzędu/starostwa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)….  z dopiskiem na kopercie np. „zgłoszenie nieprawidłowości”, „stanowisko, o którym mowa w § 4 ust. 4 pkt 3 (</w:t>
      </w:r>
      <w:r>
        <w:rPr>
          <w:rStyle w:val="Domylnaczcionkaakapitu1"/>
          <w:rFonts w:cs="Calibri" w:ascii="Calibri" w:hAnsi="Calibri" w:asciiTheme="minorHAnsi" w:cstheme="minorHAnsi" w:hAnsiTheme="minorHAnsi"/>
          <w:i/>
          <w:color w:val="000000"/>
        </w:rPr>
        <w:t xml:space="preserve">należy wskazać konkretną komórkę)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– do rąk własnych”, </w:t>
      </w:r>
    </w:p>
    <w:p>
      <w:pPr>
        <w:pStyle w:val="Textbody"/>
        <w:spacing w:lineRule="auto" w:line="240" w:before="0" w:after="0"/>
        <w:ind w:left="720" w:hanging="0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5) </w:t>
      </w:r>
      <w:r>
        <w:rPr>
          <w:rFonts w:cs="Calibri" w:ascii="Calibri" w:hAnsi="Calibri" w:asciiTheme="minorHAnsi" w:cstheme="minorHAnsi" w:hAnsiTheme="minorHAnsi"/>
          <w:color w:val="000000"/>
        </w:rPr>
        <w:t>poprzez wrzucenie pisma do skrzynki na listy zamieszczonej przy drzwiach w pokoju nr…. Skrzynka opróżniana jest codziennie w godzinach: …(można</w:t>
      </w:r>
      <w:r>
        <w:rPr>
          <w:rFonts w:cs="Calibri" w:ascii="Calibri" w:hAnsi="Calibri" w:asciiTheme="minorHAnsi" w:cstheme="minorHAnsi" w:hAnsiTheme="minorHAnsi"/>
          <w:i/>
          <w:color w:val="000000"/>
        </w:rPr>
        <w:t xml:space="preserve"> podać przedział godzinowy</w:t>
      </w:r>
      <w:r>
        <w:rPr>
          <w:rFonts w:cs="Calibri" w:ascii="Calibri" w:hAnsi="Calibri" w:asciiTheme="minorHAnsi" w:cstheme="minorHAnsi" w:hAnsiTheme="minorHAnsi"/>
          <w:color w:val="000000"/>
        </w:rPr>
        <w:t>)….. Z czynności opróżnienia skrzynki sporządzany jest protokół.</w:t>
      </w:r>
    </w:p>
    <w:p>
      <w:pPr>
        <w:pStyle w:val="Textbody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§ 6</w:t>
      </w:r>
    </w:p>
    <w:p>
      <w:pPr>
        <w:pStyle w:val="UMTresctekstu"/>
        <w:numPr>
          <w:ilvl w:val="0"/>
          <w:numId w:val="25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Zgłoszenie wewnętrzne powinno zawierać w szczególności:</w:t>
      </w:r>
    </w:p>
    <w:p>
      <w:pPr>
        <w:pStyle w:val="UMTresctekstu"/>
        <w:numPr>
          <w:ilvl w:val="0"/>
          <w:numId w:val="27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dane sygnalisty, tj. imię, nazwisko, adres korespondencyjny lub adres poczty elektronicznej i numer telefonu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  <w:sz w:val="24"/>
        </w:rPr>
        <w:footnoteReference w:id="13"/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,</w:t>
      </w:r>
    </w:p>
    <w:p>
      <w:pPr>
        <w:pStyle w:val="UMTresctekstu"/>
        <w:numPr>
          <w:ilvl w:val="0"/>
          <w:numId w:val="27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datę i miejsce sporządzenia;</w:t>
      </w:r>
    </w:p>
    <w:p>
      <w:pPr>
        <w:pStyle w:val="UMTresctekstu"/>
        <w:numPr>
          <w:ilvl w:val="0"/>
          <w:numId w:val="27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dane osób, które dopuściły się naruszenia prawa, tj. imię, nazwisko, stanowisko, miejsce pracy;</w:t>
      </w:r>
    </w:p>
    <w:p>
      <w:pPr>
        <w:pStyle w:val="UMTresctekstu"/>
        <w:numPr>
          <w:ilvl w:val="0"/>
          <w:numId w:val="27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opis nieprawidłowości oraz ich daty.</w:t>
      </w:r>
    </w:p>
    <w:p>
      <w:pPr>
        <w:pStyle w:val="UMTresctekstu"/>
        <w:numPr>
          <w:ilvl w:val="0"/>
          <w:numId w:val="26"/>
        </w:numPr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Zgłoszenie dodatkowo może zostać udokumentowane zebranymi dowodami i wykazem świadków.</w:t>
      </w:r>
    </w:p>
    <w:p>
      <w:pPr>
        <w:pStyle w:val="UMTresctekstu"/>
        <w:numPr>
          <w:ilvl w:val="0"/>
          <w:numId w:val="26"/>
        </w:numPr>
        <w:spacing w:before="0" w:after="24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Wzór zgłoszenia wewnętrznego, stanowi załącznik do karty informacyjnej zamieszczonej w BIP www……(</w:t>
      </w:r>
      <w:r>
        <w:rPr>
          <w:rFonts w:cs="Calibri" w:ascii="Calibri" w:hAnsi="Calibri" w:asciiTheme="minorHAnsi" w:cstheme="minorHAnsi" w:hAnsiTheme="minorHAnsi"/>
          <w:i/>
          <w:color w:val="000000"/>
          <w:sz w:val="24"/>
        </w:rPr>
        <w:t>adres BIP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)……….(</w:t>
      </w:r>
      <w:r>
        <w:rPr>
          <w:rFonts w:cs="Calibri" w:ascii="Calibri" w:hAnsi="Calibri" w:asciiTheme="minorHAnsi" w:cstheme="minorHAnsi" w:hAnsiTheme="minorHAnsi"/>
          <w:i/>
          <w:iCs/>
          <w:color w:val="000000"/>
          <w:sz w:val="24"/>
        </w:rPr>
        <w:t>załączniki nr 1a)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. Wzór formularza zgłoszenia wewnętrznego stanowi załącznik (</w:t>
      </w:r>
      <w:r>
        <w:rPr>
          <w:rFonts w:cs="Calibri" w:ascii="Calibri" w:hAnsi="Calibri" w:asciiTheme="minorHAnsi" w:cstheme="minorHAnsi" w:hAnsiTheme="minorHAnsi"/>
          <w:i/>
          <w:iCs/>
          <w:color w:val="000000"/>
          <w:sz w:val="24"/>
        </w:rPr>
        <w:t>nr 1b)</w:t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 xml:space="preserve"> do procedury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  <w:sz w:val="24"/>
        </w:rPr>
        <w:footnoteReference w:id="14"/>
      </w:r>
      <w:r>
        <w:rPr>
          <w:rFonts w:cs="Calibri" w:ascii="Calibri" w:hAnsi="Calibri" w:asciiTheme="minorHAnsi" w:cstheme="minorHAnsi" w:hAnsiTheme="minorHAnsi"/>
          <w:color w:val="000000"/>
          <w:sz w:val="24"/>
        </w:rPr>
        <w:t>.</w:t>
      </w:r>
    </w:p>
    <w:p>
      <w:pPr>
        <w:pStyle w:val="UMTresctekstu"/>
        <w:spacing w:before="0" w:after="0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i/>
          <w:iCs/>
          <w:color w:val="000000"/>
          <w:sz w:val="24"/>
        </w:rPr>
        <w:t>Tryb postępowania ze zgłoszeniami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§ 7</w:t>
      </w:r>
    </w:p>
    <w:p>
      <w:pPr>
        <w:pStyle w:val="Standard"/>
        <w:numPr>
          <w:ilvl w:val="0"/>
          <w:numId w:val="28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Zgłoszenia, o których mowa w § 5 rejestrowane są przez pracownika, o którym mowa w § 4 ust. 4 pkt 3, zgodnie ze wzorem rejestru określonym w załączniku nr 2 do procedury.</w:t>
      </w:r>
    </w:p>
    <w:p>
      <w:pPr>
        <w:pStyle w:val="Standard"/>
        <w:numPr>
          <w:ilvl w:val="0"/>
          <w:numId w:val="28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W przypadku zgłoszenia wewnętrznego zawierającego dane sygnalisty, o których mowa w § 6 ust. 1 pkt 1 pracownik w terminie 7 dni wysyła potwierdzenie przyjęcia zgłoszenia wewnętrznego.</w:t>
      </w:r>
    </w:p>
    <w:p>
      <w:pPr>
        <w:pStyle w:val="Standard"/>
        <w:numPr>
          <w:ilvl w:val="0"/>
          <w:numId w:val="28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Pracownik, o którym mowa w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§ 4 ust. 4 pkt 3 </w:t>
      </w:r>
      <w:r>
        <w:rPr>
          <w:rFonts w:cs="Calibri" w:ascii="Calibri" w:hAnsi="Calibri" w:asciiTheme="minorHAnsi" w:cstheme="minorHAnsi" w:hAnsiTheme="minorHAnsi"/>
          <w:color w:val="000000"/>
        </w:rPr>
        <w:t>dokonuje weryfikacji zgłoszenia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 wewnętrznego</w:t>
      </w:r>
      <w:r>
        <w:rPr>
          <w:rFonts w:cs="Calibri" w:ascii="Calibri" w:hAnsi="Calibri" w:asciiTheme="minorHAnsi" w:cstheme="minorHAnsi" w:hAnsiTheme="minorHAnsi"/>
          <w:color w:val="000000"/>
        </w:rPr>
        <w:t>, a następnie decyduje o dalszych działaniach następczych.</w:t>
      </w:r>
    </w:p>
    <w:p>
      <w:pPr>
        <w:pStyle w:val="Standard"/>
        <w:numPr>
          <w:ilvl w:val="0"/>
          <w:numId w:val="28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W przypadku, gdy zgłoszenie wewnętrzne dotyczy pracownika, o którym mowa w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§ 4 ust. 4 pkt 3</w:t>
      </w:r>
      <w:r>
        <w:rPr>
          <w:rFonts w:cs="Calibri" w:ascii="Calibri" w:hAnsi="Calibri" w:asciiTheme="minorHAnsi" w:cstheme="minorHAnsi" w:hAnsiTheme="minorHAnsi"/>
          <w:color w:val="000000"/>
        </w:rPr>
        <w:t xml:space="preserve"> pracownik zgłasza do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Prezydenta/Wójta/Burmistrza/Starosty</w:t>
      </w:r>
      <w:r>
        <w:rPr>
          <w:rFonts w:cs="Calibri" w:ascii="Calibri" w:hAnsi="Calibri" w:asciiTheme="minorHAnsi" w:cstheme="minorHAnsi" w:hAnsiTheme="minorHAnsi"/>
          <w:color w:val="000000"/>
        </w:rPr>
        <w:t xml:space="preserve"> konieczność wyłączenia go z realizacji zadań wynikających z wewnętrznej procedury.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Prezydent/Wójt/Burmistrz/Starosta</w:t>
      </w:r>
      <w:r>
        <w:rPr>
          <w:rFonts w:cs="Calibri" w:ascii="Calibri" w:hAnsi="Calibri" w:asciiTheme="minorHAnsi" w:cstheme="minorHAnsi" w:hAnsiTheme="minorHAnsi"/>
          <w:color w:val="000000"/>
        </w:rPr>
        <w:t xml:space="preserve"> upoważnia inną osobę w Urzędzie/Starostwie do realizacji zadań wynikających z wewnętrznej procedury. Postanowienia wewnętrznej procedury stosuje się odpowiednio.</w:t>
      </w:r>
    </w:p>
    <w:p>
      <w:pPr>
        <w:pStyle w:val="Standard"/>
        <w:numPr>
          <w:ilvl w:val="0"/>
          <w:numId w:val="28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Pracownik, o którym mowa § 4 ust. 4 pkt 3 ma obowiązek podjęcia działań następczych bez zbędnej zwłoki.</w:t>
      </w:r>
    </w:p>
    <w:p>
      <w:pPr>
        <w:pStyle w:val="Standard"/>
        <w:numPr>
          <w:ilvl w:val="0"/>
          <w:numId w:val="28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Pracownik, o którym mowa w § 4 ust. 4 pkt 3 przekazuje sygnaliście informację zwrotną w terminie nieprzekraczającym trzech miesięcy od potwierdzenia przyjęcia zgłoszenia wewnętrznego lub - w przypadku nieprzekazania potwierdzenia, o którym mowa w ust. 2 – trzech miesięcy od upływu 7 dni od dnia dokonania zgłoszenia wewnętrznego, chyba że sygnalista nie podał adresu do korespondencji.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i/>
          <w:i/>
          <w:iCs/>
          <w:color w:val="000000"/>
          <w:sz w:val="21"/>
          <w:szCs w:val="21"/>
        </w:rPr>
      </w:pPr>
      <w:r>
        <w:rPr>
          <w:rFonts w:cs="Calibri" w:cstheme="minorHAnsi" w:ascii="Calibri" w:hAnsi="Calibri"/>
          <w:i/>
          <w:iCs/>
          <w:color w:val="000000"/>
          <w:sz w:val="21"/>
          <w:szCs w:val="21"/>
        </w:rPr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b/>
          <w:bCs/>
          <w:i/>
          <w:i/>
          <w:iCs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i/>
          <w:iCs/>
          <w:color w:val="000000"/>
        </w:rPr>
        <w:t>Ochrona danych osobowych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§ 8</w:t>
      </w:r>
    </w:p>
    <w:p>
      <w:pPr>
        <w:pStyle w:val="Standard"/>
        <w:numPr>
          <w:ilvl w:val="0"/>
          <w:numId w:val="37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Pracownik, o którym mowa  w 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§ 4 ust. 4 pkt 3 </w:t>
      </w:r>
      <w:r>
        <w:rPr>
          <w:rFonts w:cs="Calibri" w:ascii="Calibri" w:hAnsi="Calibri" w:asciiTheme="minorHAnsi" w:cstheme="minorHAnsi" w:hAnsiTheme="minorHAnsi"/>
          <w:color w:val="000000"/>
        </w:rPr>
        <w:t>po otrzymaniu zgłoszenia przetwarza dane osobowe w zakresie niezbędnym do przyjęcia zgłoszenia lub podjęcia działania następczego.</w:t>
      </w:r>
    </w:p>
    <w:p>
      <w:pPr>
        <w:pStyle w:val="Standard"/>
        <w:numPr>
          <w:ilvl w:val="0"/>
          <w:numId w:val="37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Dane osobowe, które nie mają znaczenia dla rozpatrywania zgłoszenia, nie są zbierane,                    a w razie przypadkowego zebrania są niezwłocznie usuwane. Usunięcie tych danych osobowych następuje w terminie 14 dni od chwili ustalenia, że nie mają one znaczenia dla sprawy.</w:t>
      </w:r>
    </w:p>
    <w:p>
      <w:pPr>
        <w:pStyle w:val="Standard"/>
        <w:numPr>
          <w:ilvl w:val="0"/>
          <w:numId w:val="37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Dane osobowe przetwarzane w związku z przyjęciem zgłoszenia lub podjęciem działań następczych oraz dokumenty związane z tym zgłoszeniem są przechowywane przez okres 3 lat po zakończeniu roku kalendarzowego, w którym zakończono działania następcze lub po zakończeniu postępowań zainicjowanych tymi działaniami.</w:t>
      </w:r>
    </w:p>
    <w:p>
      <w:pPr>
        <w:pStyle w:val="Standard"/>
        <w:numPr>
          <w:ilvl w:val="0"/>
          <w:numId w:val="37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W  przypadku, o którym mowa w ust. 3 dane osobowe oraz dokumenty związane ze zgłoszeniem podlegają zniszczeniu po upływie okresu przechowywania, z zastrzeżeniem ust. 5.</w:t>
      </w:r>
    </w:p>
    <w:p>
      <w:pPr>
        <w:pStyle w:val="Standard"/>
        <w:numPr>
          <w:ilvl w:val="0"/>
          <w:numId w:val="37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W przypadku, gdy dokumenty związane ze zgłoszeniem stanowią część akt postępowań przygotowawczych lub spraw sądowych, lub sądowo-administracyjnych nie podlegają zniszczeniu na zasadach określonych w ust. 3.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§ 9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</w:rPr>
        <w:footnoteReference w:id="15"/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ab/>
        <w:t>Obsługa  zgłoszeń wewnętrznych przeprowadzana jest na zasadach określonych w wewnętrznej  procedurze, z uwzględnieniem w szczególności następujących regulacji wewnętrznych:</w:t>
      </w:r>
    </w:p>
    <w:p>
      <w:pPr>
        <w:pStyle w:val="Standard"/>
        <w:numPr>
          <w:ilvl w:val="0"/>
          <w:numId w:val="33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regulaminu organizacyjnego,</w:t>
      </w:r>
    </w:p>
    <w:p>
      <w:pPr>
        <w:pStyle w:val="Standard"/>
        <w:numPr>
          <w:ilvl w:val="0"/>
          <w:numId w:val="33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regulaminu pracy,</w:t>
      </w:r>
    </w:p>
    <w:p>
      <w:pPr>
        <w:pStyle w:val="Standard"/>
        <w:numPr>
          <w:ilvl w:val="0"/>
          <w:numId w:val="33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procedury antymobingowej,</w:t>
      </w:r>
    </w:p>
    <w:p>
      <w:pPr>
        <w:pStyle w:val="Standard"/>
        <w:numPr>
          <w:ilvl w:val="0"/>
          <w:numId w:val="33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kodeksu etyki,</w:t>
      </w:r>
    </w:p>
    <w:p>
      <w:pPr>
        <w:pStyle w:val="Standard"/>
        <w:numPr>
          <w:ilvl w:val="0"/>
          <w:numId w:val="33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Systemu Zarządzania Bezpieczeństwem Informacji/Polityki Bezpieczeństwa Informacji</w:t>
      </w:r>
    </w:p>
    <w:p>
      <w:pPr>
        <w:pStyle w:val="Tretekstu"/>
        <w:numPr>
          <w:ilvl w:val="0"/>
          <w:numId w:val="33"/>
        </w:numPr>
        <w:spacing w:lineRule="auto" w:line="24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procedury antykorupcyjnej.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§ 10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</w:rPr>
        <w:footnoteReference w:id="16"/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ab/>
        <w:t>Informacje o naruszeniach prawa zgłoszone anonimowo pozostają bez rozpatrzenia.</w:t>
      </w:r>
    </w:p>
    <w:p>
      <w:pPr>
        <w:pStyle w:val="Normal"/>
        <w:rPr>
          <w:rFonts w:ascii="Calibri" w:hAnsi="Calibri" w:cs="Calibri" w:asciiTheme="minorHAnsi" w:cstheme="minorHAnsi" w:hAnsiTheme="minorHAnsi"/>
          <w:color w:val="000000"/>
          <w:sz w:val="40"/>
        </w:rPr>
      </w:pPr>
      <w:r>
        <w:rPr>
          <w:rFonts w:cs="Calibri" w:cstheme="minorHAnsi" w:ascii="Calibri" w:hAnsi="Calibri"/>
          <w:color w:val="000000"/>
          <w:sz w:val="40"/>
        </w:rPr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i/>
          <w:iCs/>
          <w:color w:val="000000"/>
        </w:rPr>
        <w:t>Ochrona sygnalisty</w:t>
      </w:r>
    </w:p>
    <w:p>
      <w:pPr>
        <w:pStyle w:val="UMTresctekstu"/>
        <w:spacing w:before="0" w:after="0"/>
        <w:ind w:hanging="0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</w:rPr>
        <w:t>§ 11</w:t>
      </w:r>
    </w:p>
    <w:p>
      <w:pPr>
        <w:pStyle w:val="Standard"/>
        <w:numPr>
          <w:ilvl w:val="0"/>
          <w:numId w:val="29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2"/>
          <w:rFonts w:eastAsia="Verdana" w:cs="Calibri" w:ascii="Calibri" w:hAnsi="Calibri" w:asciiTheme="minorHAnsi" w:cstheme="minorHAnsi" w:hAnsiTheme="minorHAnsi"/>
          <w:color w:val="000000"/>
        </w:rPr>
        <w:t>Sygnalista podlega ochronie  w zakresie danych osobowych (poufność i anonimowość danych) i w zakresie działań odwetowych od momentu dokonania zgłoszenia lub ujawnienia publicznego.</w:t>
      </w:r>
    </w:p>
    <w:p>
      <w:pPr>
        <w:pStyle w:val="Standard"/>
        <w:numPr>
          <w:ilvl w:val="0"/>
          <w:numId w:val="29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2"/>
          <w:rFonts w:eastAsia="Verdana" w:cs="Calibri" w:ascii="Calibri" w:hAnsi="Calibri" w:asciiTheme="minorHAnsi" w:cstheme="minorHAnsi" w:hAnsiTheme="minorHAnsi"/>
          <w:color w:val="000000"/>
        </w:rPr>
        <w:t xml:space="preserve">Warunkiem objęcia ochroną jest działanie w dobrej wierze, tj. posiadanie uzasadnionych podstaw, by sądzić że informacja będąca przedmiotem zgłoszenia lub ujawnienia publicznego jest prawdziwa w momencie dokonywania zgłoszenia lub ujawnienia publicznego i że stanowi informację o naruszeniu prawa.  </w:t>
      </w:r>
    </w:p>
    <w:p>
      <w:pPr>
        <w:pStyle w:val="Standard"/>
        <w:numPr>
          <w:ilvl w:val="0"/>
          <w:numId w:val="29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2"/>
          <w:rFonts w:eastAsia="Verdana" w:cs="Calibri" w:ascii="Calibri" w:hAnsi="Calibri" w:asciiTheme="minorHAnsi" w:cstheme="minorHAnsi" w:hAnsiTheme="minorHAnsi"/>
          <w:color w:val="000000"/>
        </w:rPr>
        <w:t>Sygnalista podlega ochronie wyłącznie w zakresie dokonanych zgłoszeń.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§ 12</w:t>
      </w:r>
    </w:p>
    <w:p>
      <w:pPr>
        <w:pStyle w:val="Standard"/>
        <w:numPr>
          <w:ilvl w:val="0"/>
          <w:numId w:val="30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Sygnaliście Prezydent/Burmistrz/Wójt/Starosta zapewnia ochronę przed możliwymi działaniami odwetowymi, a także przed szykanami, dyskryminacją i innymi formami wykluczenia lub nękania przez innych pracowników.</w:t>
      </w:r>
    </w:p>
    <w:p>
      <w:pPr>
        <w:pStyle w:val="Standard"/>
        <w:numPr>
          <w:ilvl w:val="0"/>
          <w:numId w:val="30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Zapewniając ochronę, o której mowa w ust. 1 Prezydent/Wójt/Burmistrz/Starosta,                      w szczególności:</w:t>
      </w:r>
    </w:p>
    <w:p>
      <w:pPr>
        <w:pStyle w:val="Standard"/>
        <w:numPr>
          <w:ilvl w:val="0"/>
          <w:numId w:val="10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podejmuje działania gwarantujące poszanowanie zasady poufności i anonimowości danych, ochronę tożsamości na każdym etapie prowadzenia działań następczych, jak i po ich zakończeniu, z zastrzeżeniem § 14 ust. 1;</w:t>
      </w:r>
    </w:p>
    <w:p>
      <w:pPr>
        <w:pStyle w:val="Standard"/>
        <w:numPr>
          <w:ilvl w:val="0"/>
          <w:numId w:val="10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doprowadza do ukarania osób, którym udowodnione zostało podejmowanie jakichkolwiek działań represyjnych i odwetowych względem sygnalisty;</w:t>
      </w:r>
    </w:p>
    <w:p>
      <w:pPr>
        <w:pStyle w:val="Standard"/>
        <w:numPr>
          <w:ilvl w:val="0"/>
          <w:numId w:val="10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zobowiązuje upoważnioną osobę kierującą komórką kadrową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</w:rPr>
        <w:footnoteReference w:id="17"/>
      </w:r>
      <w:r>
        <w:rPr>
          <w:rFonts w:cs="Calibri" w:ascii="Calibri" w:hAnsi="Calibri" w:asciiTheme="minorHAnsi" w:cstheme="minorHAnsi" w:hAnsiTheme="minorHAnsi"/>
          <w:color w:val="000000"/>
        </w:rPr>
        <w:t xml:space="preserve"> do monitorowania sytuacji kadrowej sygnalisty. Monitorowanie obejmuje analizę uzasadnienia wszelkich wniosków przełożonych sygnalisty dotyczących zmiany jego sytuacji prawnej i faktycznej w ramach stosunku pracy, w szczególności:</w:t>
      </w:r>
    </w:p>
    <w:p>
      <w:pPr>
        <w:pStyle w:val="Standard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a) rozwiązania umowy o pracę,</w:t>
      </w:r>
    </w:p>
    <w:p>
      <w:pPr>
        <w:pStyle w:val="Standard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b) zmiany zakresu czynności, </w:t>
      </w:r>
    </w:p>
    <w:p>
      <w:pPr>
        <w:pStyle w:val="Standard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c) przeniesienia do innej komórki organizacyjnej/na inne stanowisko pracy,</w:t>
      </w:r>
    </w:p>
    <w:p>
      <w:pPr>
        <w:pStyle w:val="Standard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d)degradacja stanowiskowa, płacowa, uniemożliwianie podnoszenia kompetencji, nieuzasadnione pomniejszenie dodatkowego wynagrodzenia w formie dodatku, nagrody, premii, </w:t>
      </w:r>
    </w:p>
    <w:p>
      <w:pPr>
        <w:pStyle w:val="Standard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e) zmiana warunków świadczenia pracy (np. nieuzasadnione zmniejszenie wynagrodzenia, wymiaru etatu, godzin pracy, odmowa udzielenia pracownikowi urlopu wypoczynkowego/ szkoleniowego/ bezpłatnego). W przypadku stwierdzenia lub podejrzenia działań zmierzających do pogorszenia sytuacji prawnej lub faktycznej osoba kierująca komórką kadrową zobowiązana jest do podjęcia działań uniemożliwiających pogorszenie sytuacji faktycznej i prawnej sygnalisty;</w:t>
      </w:r>
    </w:p>
    <w:p>
      <w:pPr>
        <w:pStyle w:val="Standard"/>
        <w:numPr>
          <w:ilvl w:val="0"/>
          <w:numId w:val="10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zobowiązuje upoważnionych pracowników współpracujących ze zleceniobiorcami/usługodawcami do powstrzymania się wobec nich od podejmowania działań odwetowych.</w:t>
      </w:r>
    </w:p>
    <w:p>
      <w:pPr>
        <w:pStyle w:val="ListParagraph"/>
        <w:ind w:left="113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3. Działania, o których mowa w ust. 2 pkt 1 obejmują przede wszystkim:</w:t>
      </w:r>
    </w:p>
    <w:p>
      <w:pPr>
        <w:pStyle w:val="ListParagraph"/>
        <w:widowControl/>
        <w:numPr>
          <w:ilvl w:val="0"/>
          <w:numId w:val="11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ograniczenie dostępu do informacji wyłącznie dla osób posiadających pisemne upoważnienie  w ramach działań następczych;</w:t>
      </w:r>
    </w:p>
    <w:p>
      <w:pPr>
        <w:pStyle w:val="ListParagraph"/>
        <w:widowControl/>
        <w:numPr>
          <w:ilvl w:val="0"/>
          <w:numId w:val="11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zapewnienie poufności tożsamości sygnaliście oraz osobie wskazanej w zgłoszeniu.</w:t>
      </w:r>
    </w:p>
    <w:p>
      <w:pPr>
        <w:pStyle w:val="ListParagraph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ListParagraph"/>
        <w:jc w:val="center"/>
        <w:rPr>
          <w:rFonts w:ascii="Calibri" w:hAnsi="Calibri" w:cs="Calibri" w:asciiTheme="minorHAnsi" w:cstheme="minorHAnsi" w:hAnsiTheme="minorHAnsi"/>
          <w:color w:val="000000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§ 13</w:t>
      </w:r>
    </w:p>
    <w:p>
      <w:pPr>
        <w:pStyle w:val="ListParagraph"/>
        <w:widowControl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  <w:sz w:val="24"/>
          <w:szCs w:val="24"/>
        </w:rPr>
      </w:pPr>
      <w:r>
        <w:rPr>
          <w:rFonts w:cs="Calibri" w:cstheme="minorHAnsi" w:ascii="Calibri" w:hAnsi="Calibri"/>
          <w:color w:val="000000"/>
          <w:sz w:val="24"/>
          <w:szCs w:val="24"/>
        </w:rPr>
      </w:r>
    </w:p>
    <w:p>
      <w:pPr>
        <w:pStyle w:val="ListParagraph"/>
        <w:widowControl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ab/>
        <w:t>Przepisy § 11-12 stosuje się odpowiednio do osoby pomagającej w dokonaniu zgłoszenia oraz osoby powiązanej z sygnalistą.</w:t>
      </w:r>
    </w:p>
    <w:p>
      <w:pPr>
        <w:pStyle w:val="ListParagraph"/>
        <w:ind w:left="907" w:hanging="0"/>
        <w:jc w:val="both"/>
        <w:rPr>
          <w:rFonts w:ascii="Calibri" w:hAnsi="Calibri" w:cs="Calibri" w:asciiTheme="minorHAnsi" w:cstheme="minorHAnsi" w:hAnsiTheme="minorHAnsi"/>
          <w:color w:val="000000"/>
          <w:sz w:val="24"/>
          <w:szCs w:val="24"/>
        </w:rPr>
      </w:pPr>
      <w:r>
        <w:rPr>
          <w:rFonts w:cs="Calibri" w:cstheme="minorHAnsi" w:ascii="Calibri" w:hAnsi="Calibri"/>
          <w:color w:val="000000"/>
          <w:sz w:val="24"/>
          <w:szCs w:val="24"/>
        </w:rPr>
      </w:r>
    </w:p>
    <w:p>
      <w:pPr>
        <w:pStyle w:val="ListParagraph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§ 14</w:t>
      </w:r>
    </w:p>
    <w:p>
      <w:pPr>
        <w:pStyle w:val="ListParagraph"/>
        <w:numPr>
          <w:ilvl w:val="0"/>
          <w:numId w:val="38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Sygnalistę należy każdorazowo informować o okolicznościach, w których ujawnienie jego tożsamości stanie się konieczne w razie postępowania sądowego, przygotowawczego i sądowoadministracyjnego.</w:t>
      </w:r>
    </w:p>
    <w:p>
      <w:pPr>
        <w:pStyle w:val="ListParagraph"/>
        <w:numPr>
          <w:ilvl w:val="0"/>
          <w:numId w:val="38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>O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  <w:szCs w:val="24"/>
        </w:rPr>
        <w:t xml:space="preserve">sobom, których dane osobowe są przetwarzane w związku z przyjęciem zgłoszenia lub podjęciem działań następczych, należy przekazać szczegóły dot. tego przetwarzania, w myśl postanowień art. 14 ust. 1-3 RODO, chyba że istnieje możliwość odstąpienia od tego obowiązku, zgodnie z postanowieniami art. 14 ust. 5 RODO. </w:t>
      </w:r>
    </w:p>
    <w:p>
      <w:pPr>
        <w:pStyle w:val="ListParagraph"/>
        <w:jc w:val="both"/>
        <w:rPr>
          <w:rFonts w:ascii="Calibri" w:hAnsi="Calibri" w:cs="Calibri" w:asciiTheme="minorHAnsi" w:cstheme="minorHAnsi" w:hAnsiTheme="minorHAnsi"/>
          <w:i/>
          <w:i/>
          <w:iCs/>
          <w:color w:val="000000"/>
          <w:sz w:val="24"/>
          <w:szCs w:val="24"/>
        </w:rPr>
      </w:pPr>
      <w:r>
        <w:rPr>
          <w:rFonts w:cs="Calibri" w:cstheme="minorHAnsi" w:ascii="Calibri" w:hAnsi="Calibri"/>
          <w:i/>
          <w:iCs/>
          <w:color w:val="000000"/>
          <w:sz w:val="24"/>
          <w:szCs w:val="24"/>
        </w:rPr>
      </w:r>
    </w:p>
    <w:p>
      <w:pPr>
        <w:pStyle w:val="ListParagraph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i/>
          <w:iCs/>
          <w:color w:val="000000"/>
          <w:sz w:val="24"/>
          <w:szCs w:val="24"/>
        </w:rPr>
        <w:t>Przepisy końcowe</w:t>
      </w:r>
    </w:p>
    <w:p>
      <w:pPr>
        <w:pStyle w:val="Standard"/>
        <w:jc w:val="center"/>
        <w:rPr>
          <w:rStyle w:val="Domylnaczcionkaakapitu1"/>
          <w:rFonts w:ascii="Calibri" w:hAnsi="Calibri" w:cs="Calibri" w:asciiTheme="minorHAnsi" w:cstheme="minorHAnsi" w:hAnsiTheme="minorHAnsi"/>
          <w:color w:val="000000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§ 15 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Procedurę należy uzupełnić o informację dot. możliwości zgłoszeń zewnętrznych np.: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</w:rPr>
        <w:footnoteReference w:id="18"/>
      </w:r>
    </w:p>
    <w:p>
      <w:pPr>
        <w:pStyle w:val="Standard"/>
        <w:numPr>
          <w:ilvl w:val="0"/>
          <w:numId w:val="31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sygnalista może dokonać zgłoszenia zewnętrznego bez uprzedniego zgłoszenia wewnętrznego do Rzecznika Praw Obywatelskich lub do organu publicznego na zasadach określonych w ustawie z dnia 14 czerwca 2024 r. o ochronie sygnalistów;</w:t>
      </w:r>
    </w:p>
    <w:p>
      <w:pPr>
        <w:pStyle w:val="Standard"/>
        <w:numPr>
          <w:ilvl w:val="0"/>
          <w:numId w:val="31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informacje w zakresie zgłoszeń zewnętrznych dostępne są w Biuletynie Informacji Publicznej Rzecznika Praw Obywatelskich oraz organu publicznego.`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§ 16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000000"/>
        </w:rPr>
        <w:footnoteReference w:id="19"/>
      </w:r>
    </w:p>
    <w:p>
      <w:pPr>
        <w:pStyle w:val="Textbody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ab/>
        <w:t xml:space="preserve">Przepisy niniejszej procedury podlegają przeglądowi nie rzadziej niż raz na trzy lata. </w:t>
      </w:r>
    </w:p>
    <w:p>
      <w:pPr>
        <w:pStyle w:val="Standard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§ 17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ab/>
        <w:t>W sprawach nieuregulowanych niniejszą procedurą zastosowanie mają odpowiednie przepisy ustawy z dnia 14 czerwca 2024 r. o ochronie sygnalistów, Kodeksu postępowania administracyjnego oraz Ogólnego rozporządzenia o ochronie danych osobowych.</w:t>
      </w:r>
      <w:r>
        <w:br w:type="page"/>
      </w:r>
    </w:p>
    <w:p>
      <w:pPr>
        <w:pStyle w:val="UMTytul1"/>
        <w:spacing w:lineRule="auto" w:line="240" w:before="0" w:after="0"/>
        <w:jc w:val="right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Cs/>
          <w:color w:val="000000"/>
          <w:sz w:val="24"/>
        </w:rPr>
        <w:t>Załącznik nr 2 do Zarządzenia …</w:t>
      </w:r>
    </w:p>
    <w:p>
      <w:pPr>
        <w:pStyle w:val="Standard"/>
        <w:ind w:left="57" w:firstLine="283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ind w:left="57" w:firstLine="283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>Wzór oświadczenia pracownika o zapoznaniu się z przepisami wewnętrznej procedury d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>okonywania zgłoszeń naruszeń prawa i podejmowania działań następczych</w:t>
      </w:r>
      <w:r>
        <w:rPr>
          <w:rFonts w:cs="Calibri" w:ascii="Calibri" w:hAnsi="Calibri" w:asciiTheme="minorHAnsi" w:cstheme="minorHAnsi" w:hAnsiTheme="minorHAnsi"/>
          <w:color w:val="000000"/>
        </w:rPr>
        <w:t xml:space="preserve"> </w:t>
      </w:r>
    </w:p>
    <w:p>
      <w:pPr>
        <w:pStyle w:val="Standard"/>
        <w:ind w:left="5670" w:firstLine="284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ind w:left="5670" w:firstLine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ind w:left="5670" w:firstLine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ind w:left="5670" w:firstLine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ind w:left="5670" w:firstLine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………………</w:t>
      </w:r>
      <w:r>
        <w:rPr>
          <w:rFonts w:cs="Calibri" w:ascii="Calibri" w:hAnsi="Calibri" w:asciiTheme="minorHAnsi" w:cstheme="minorHAnsi" w:hAnsiTheme="minorHAnsi"/>
          <w:color w:val="000000"/>
        </w:rPr>
        <w:t>., dnia ……………..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rPr>
          <w:rFonts w:ascii="Calibri" w:hAnsi="Calibri" w:cs="Calibri" w:asciiTheme="minorHAnsi" w:cstheme="minorHAnsi" w:hAnsiTheme="minorHAnsi"/>
          <w:b/>
          <w:color w:val="000000"/>
        </w:rPr>
      </w:pPr>
      <w:r>
        <w:rPr>
          <w:rFonts w:cs="Calibri" w:cstheme="minorHAnsi" w:ascii="Calibri" w:hAnsi="Calibri"/>
          <w:b/>
          <w:color w:val="000000"/>
        </w:rPr>
      </w:r>
    </w:p>
    <w:p>
      <w:pPr>
        <w:pStyle w:val="Standard"/>
        <w:ind w:left="57" w:firstLine="283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color w:val="000000"/>
        </w:rPr>
        <w:t xml:space="preserve">Oświadczenie pracownika o zapoznaniu się z przepisami </w:t>
      </w:r>
      <w:r>
        <w:rPr>
          <w:rFonts w:cs="Calibri" w:ascii="Calibri" w:hAnsi="Calibri" w:asciiTheme="minorHAnsi" w:cstheme="minorHAnsi" w:hAnsiTheme="minorHAnsi"/>
          <w:b/>
          <w:bCs/>
          <w:color w:val="000000"/>
        </w:rPr>
        <w:t>wewnętrznej procedury d</w:t>
      </w:r>
      <w:r>
        <w:rPr>
          <w:rStyle w:val="Domylnaczcionkaakapitu1"/>
          <w:rFonts w:cs="Calibri" w:ascii="Calibri" w:hAnsi="Calibri" w:asciiTheme="minorHAnsi" w:cstheme="minorHAnsi" w:hAnsiTheme="minorHAnsi"/>
          <w:b/>
          <w:bCs/>
          <w:color w:val="000000"/>
        </w:rPr>
        <w:t>okonywania zgłoszeń naruszeń prawa i podejmowania działań następczych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 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spacing w:lineRule="auto" w:line="36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ab/>
        <w:t>Oświadczam, że zapoznałem się / zapoznałam się z przepisami wewnętrznej procedury d</w:t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</w:rPr>
        <w:t xml:space="preserve">okonywania zgłoszeń naruszeń prawa i podejmowania działań następczych </w:t>
      </w:r>
      <w:r>
        <w:rPr>
          <w:rFonts w:cs="Calibri" w:ascii="Calibri" w:hAnsi="Calibri" w:asciiTheme="minorHAnsi" w:cstheme="minorHAnsi" w:hAnsiTheme="minorHAnsi"/>
          <w:color w:val="000000"/>
        </w:rPr>
        <w:t>(zarządzenie … nr ….)</w:t>
      </w:r>
    </w:p>
    <w:p>
      <w:pPr>
        <w:pStyle w:val="Standard"/>
        <w:spacing w:lineRule="auto" w:line="36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i zobowiązuję się do ich przestrzegania.</w:t>
      </w:r>
    </w:p>
    <w:p>
      <w:pPr>
        <w:pStyle w:val="Standard"/>
        <w:spacing w:lineRule="auto" w:line="36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jc w:val="right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……………………………</w:t>
      </w:r>
      <w:r>
        <w:rPr>
          <w:rFonts w:cs="Calibri" w:ascii="Calibri" w:hAnsi="Calibri" w:asciiTheme="minorHAnsi" w:cstheme="minorHAnsi" w:hAnsiTheme="minorHAnsi"/>
          <w:color w:val="000000"/>
        </w:rPr>
        <w:t>.</w:t>
        <w:br/>
        <w:t>(podpis pracownika)</w:t>
      </w:r>
    </w:p>
    <w:p>
      <w:pPr>
        <w:pStyle w:val="Standard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ListParagraph"/>
        <w:spacing w:before="120" w:after="0"/>
        <w:ind w:left="108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color w:val="000000"/>
          <w:sz w:val="23"/>
          <w:szCs w:val="23"/>
        </w:rPr>
        <w:t xml:space="preserve">                                                       </w:t>
      </w:r>
      <w:r>
        <w:br w:type="page"/>
      </w:r>
    </w:p>
    <w:p>
      <w:pPr>
        <w:pStyle w:val="UMTrescpunktu"/>
        <w:numPr>
          <w:ilvl w:val="0"/>
          <w:numId w:val="0"/>
        </w:numPr>
        <w:spacing w:before="0" w:after="0"/>
        <w:ind w:left="0" w:firstLine="552"/>
        <w:jc w:val="right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color w:val="000000"/>
          <w:sz w:val="21"/>
          <w:szCs w:val="21"/>
        </w:rPr>
        <w:t>Załącznik nr 1a do</w:t>
      </w:r>
    </w:p>
    <w:p>
      <w:pPr>
        <w:pStyle w:val="UMTrescpunktu"/>
        <w:numPr>
          <w:ilvl w:val="0"/>
          <w:numId w:val="0"/>
        </w:numPr>
        <w:spacing w:before="0" w:after="0"/>
        <w:ind w:left="0" w:firstLine="552"/>
        <w:jc w:val="right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4"/>
        </w:rPr>
        <w:tab/>
      </w: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1"/>
          <w:szCs w:val="21"/>
        </w:rPr>
        <w:t>wewnętrznej procedury dokonywania zgłoszeń naruszeń prawa</w:t>
      </w:r>
    </w:p>
    <w:p>
      <w:pPr>
        <w:pStyle w:val="UMTrescpunktu"/>
        <w:numPr>
          <w:ilvl w:val="0"/>
          <w:numId w:val="0"/>
        </w:numPr>
        <w:spacing w:before="0" w:after="0"/>
        <w:ind w:left="0" w:firstLine="552"/>
        <w:jc w:val="right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color w:val="000000"/>
          <w:sz w:val="21"/>
          <w:szCs w:val="21"/>
        </w:rPr>
        <w:t>i podejmowania działań następczych</w:t>
      </w:r>
    </w:p>
    <w:p>
      <w:pPr>
        <w:pStyle w:val="UMTrescpunktu"/>
        <w:numPr>
          <w:ilvl w:val="0"/>
          <w:numId w:val="0"/>
        </w:numPr>
        <w:spacing w:before="0" w:after="0"/>
        <w:ind w:left="0" w:firstLine="552"/>
        <w:jc w:val="right"/>
        <w:rPr>
          <w:rFonts w:ascii="Calibri" w:hAnsi="Calibri" w:cs="Calibri" w:asciiTheme="minorHAnsi" w:cstheme="minorHAnsi" w:hAnsiTheme="minorHAnsi"/>
          <w:color w:val="000000"/>
          <w:sz w:val="21"/>
          <w:szCs w:val="21"/>
        </w:rPr>
      </w:pPr>
      <w:r>
        <w:rPr>
          <w:rFonts w:cs="Calibri" w:cstheme="minorHAnsi" w:ascii="Calibri" w:hAnsi="Calibri"/>
          <w:color w:val="000000"/>
          <w:sz w:val="21"/>
          <w:szCs w:val="21"/>
        </w:rPr>
      </w:r>
    </w:p>
    <w:tbl>
      <w:tblPr>
        <w:tblW w:w="10005" w:type="dxa"/>
        <w:jc w:val="left"/>
        <w:tblInd w:w="3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0" w:noVBand="0" w:lastRow="0" w:firstColumn="0" w:lastColumn="0" w:noHBand="0" w:val="0000"/>
      </w:tblPr>
      <w:tblGrid>
        <w:gridCol w:w="1549"/>
        <w:gridCol w:w="8455"/>
      </w:tblGrid>
      <w:tr>
        <w:trPr>
          <w:trHeight w:val="1155" w:hRule="atLeast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herb</w:t>
            </w:r>
          </w:p>
        </w:tc>
        <w:tc>
          <w:tcPr>
            <w:tcW w:w="8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0"/>
                <w:szCs w:val="20"/>
              </w:rPr>
              <w:t>Urząd …….</w:t>
            </w:r>
          </w:p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adres:…………………………</w:t>
            </w:r>
            <w:r>
              <w:rPr>
                <w:rFonts w:cs="Calibri" w:ascii="Calibri" w:hAnsi="Calibri" w:asciiTheme="minorHAnsi" w:cstheme="minorHAnsi" w:hAnsiTheme="minorHAnsi"/>
                <w:color w:val="000000"/>
              </w:rPr>
              <w:br/>
            </w: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telefon: …………………………</w:t>
            </w:r>
          </w:p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e-mail: ………………………….</w:t>
            </w:r>
          </w:p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hyperlink r:id="rId4">
              <w:r>
                <w:rPr>
                  <w:rStyle w:val="Czeinternetowe"/>
                  <w:rFonts w:cs="Calibri" w:ascii="Calibri" w:hAnsi="Calibri" w:asciiTheme="minorHAnsi" w:cstheme="minorHAnsi" w:hAnsiTheme="minorHAnsi"/>
                  <w:color w:val="000000"/>
                  <w:sz w:val="20"/>
                  <w:szCs w:val="20"/>
                  <w:lang w:val="en-US"/>
                </w:rPr>
                <w:t>http://www.</w:t>
              </w:r>
            </w:hyperlink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  <w:lang w:val="en-US"/>
              </w:rPr>
              <w:t>....................................</w:t>
            </w:r>
          </w:p>
        </w:tc>
      </w:tr>
      <w:tr>
        <w:trPr>
          <w:trHeight w:val="231" w:hRule="atLeast"/>
        </w:trPr>
        <w:tc>
          <w:tcPr>
            <w:tcW w:w="10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8"/>
                <w:szCs w:val="28"/>
              </w:rPr>
              <w:t>Karta Informacyjna</w:t>
            </w:r>
          </w:p>
        </w:tc>
      </w:tr>
      <w:tr>
        <w:trPr>
          <w:trHeight w:val="283" w:hRule="atLeast"/>
        </w:trPr>
        <w:tc>
          <w:tcPr>
            <w:tcW w:w="10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Nazwa sprawy: Zgłaszanie naruszeń/ nieprawidłowości</w:t>
            </w:r>
          </w:p>
        </w:tc>
      </w:tr>
      <w:tr>
        <w:trPr>
          <w:trHeight w:val="645" w:hRule="atLeast"/>
        </w:trPr>
        <w:tc>
          <w:tcPr>
            <w:tcW w:w="10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I. Podstawa Prawna</w:t>
            </w:r>
          </w:p>
          <w:p>
            <w:pPr>
              <w:pStyle w:val="Standard"/>
              <w:widowControl w:val="false"/>
              <w:numPr>
                <w:ilvl w:val="0"/>
                <w:numId w:val="12"/>
              </w:numPr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Zarządzenie nr… .Prezydenta/Burmistrza/Wójta/ Starosty</w:t>
            </w:r>
          </w:p>
        </w:tc>
      </w:tr>
      <w:tr>
        <w:trPr>
          <w:trHeight w:val="506" w:hRule="atLeast"/>
        </w:trPr>
        <w:tc>
          <w:tcPr>
            <w:tcW w:w="10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II. Opis ogólny</w:t>
            </w:r>
          </w:p>
          <w:p>
            <w:pPr>
              <w:pStyle w:val="Standard"/>
              <w:widowControl w:val="false"/>
              <w:numPr>
                <w:ilvl w:val="0"/>
                <w:numId w:val="20"/>
              </w:numPr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22"/>
                <w:szCs w:val="22"/>
              </w:rPr>
              <w:t>kogo dotyczy, kto może zgłaszać nieprawidłowości  (zakres podmiotowy)</w:t>
            </w:r>
          </w:p>
        </w:tc>
      </w:tr>
      <w:tr>
        <w:trPr>
          <w:trHeight w:val="759" w:hRule="atLeast"/>
        </w:trPr>
        <w:tc>
          <w:tcPr>
            <w:tcW w:w="10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III. Wymagane dokumenty</w:t>
            </w:r>
          </w:p>
          <w:p>
            <w:pPr>
              <w:pStyle w:val="Standard"/>
              <w:widowControl w:val="false"/>
              <w:numPr>
                <w:ilvl w:val="0"/>
                <w:numId w:val="13"/>
              </w:numPr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w przypadku zgłoszenia w postaci papierowej lub elektronicznej (załącznik do karty informacyjnej)</w:t>
            </w:r>
          </w:p>
        </w:tc>
      </w:tr>
      <w:tr>
        <w:trPr>
          <w:trHeight w:val="506" w:hRule="atLeast"/>
        </w:trPr>
        <w:tc>
          <w:tcPr>
            <w:tcW w:w="10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IV. Opłaty</w:t>
            </w:r>
          </w:p>
          <w:p>
            <w:pPr>
              <w:pStyle w:val="Standard"/>
              <w:widowControl w:val="false"/>
              <w:numPr>
                <w:ilvl w:val="0"/>
                <w:numId w:val="14"/>
              </w:numPr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brak</w:t>
            </w:r>
          </w:p>
        </w:tc>
      </w:tr>
      <w:tr>
        <w:trPr>
          <w:trHeight w:val="506" w:hRule="atLeast"/>
        </w:trPr>
        <w:tc>
          <w:tcPr>
            <w:tcW w:w="10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V. Termin załatwienia sprawy</w:t>
            </w:r>
          </w:p>
          <w:p>
            <w:pPr>
              <w:pStyle w:val="Standard"/>
              <w:widowControl w:val="false"/>
              <w:numPr>
                <w:ilvl w:val="0"/>
                <w:numId w:val="15"/>
              </w:numPr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należy podać termin -  do trzech miesięcy</w:t>
            </w:r>
          </w:p>
        </w:tc>
      </w:tr>
      <w:tr>
        <w:trPr>
          <w:trHeight w:val="506" w:hRule="atLeast"/>
        </w:trPr>
        <w:tc>
          <w:tcPr>
            <w:tcW w:w="10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VI. Miejsce załatwienia sprawy</w:t>
            </w:r>
          </w:p>
          <w:p>
            <w:pPr>
              <w:pStyle w:val="Standard"/>
              <w:widowControl w:val="false"/>
              <w:numPr>
                <w:ilvl w:val="0"/>
                <w:numId w:val="16"/>
              </w:numPr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należy podać właściwy adres, pokój, piętro</w:t>
            </w:r>
          </w:p>
        </w:tc>
      </w:tr>
      <w:tr>
        <w:trPr>
          <w:trHeight w:val="506" w:hRule="atLeast"/>
        </w:trPr>
        <w:tc>
          <w:tcPr>
            <w:tcW w:w="10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VII. Godziny pracy</w:t>
            </w:r>
          </w:p>
          <w:p>
            <w:pPr>
              <w:pStyle w:val="Standard"/>
              <w:widowControl w:val="false"/>
              <w:numPr>
                <w:ilvl w:val="0"/>
                <w:numId w:val="17"/>
              </w:numPr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należy podać godziny urzędowania</w:t>
            </w:r>
          </w:p>
        </w:tc>
      </w:tr>
      <w:tr>
        <w:trPr>
          <w:trHeight w:val="506" w:hRule="atLeast"/>
        </w:trPr>
        <w:tc>
          <w:tcPr>
            <w:tcW w:w="10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VIII. Jednostka odpowiedzialna</w:t>
            </w:r>
          </w:p>
          <w:p>
            <w:pPr>
              <w:pStyle w:val="Standard"/>
              <w:widowControl w:val="false"/>
              <w:numPr>
                <w:ilvl w:val="0"/>
                <w:numId w:val="18"/>
              </w:numPr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należy podać jednostkę lub osobę odpowiedzialną za rozpatrzenie</w:t>
            </w:r>
          </w:p>
        </w:tc>
      </w:tr>
      <w:tr>
        <w:trPr>
          <w:trHeight w:val="4082" w:hRule="atLeast"/>
        </w:trPr>
        <w:tc>
          <w:tcPr>
            <w:tcW w:w="10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1"/>
                <w:szCs w:val="21"/>
              </w:rPr>
              <w:t>IX. Uwagi</w:t>
            </w:r>
          </w:p>
          <w:p>
            <w:pPr>
              <w:pStyle w:val="Textbody"/>
              <w:widowControl w:val="false"/>
              <w:numPr>
                <w:ilvl w:val="0"/>
                <w:numId w:val="34"/>
              </w:numPr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Style w:val="Domylnaczcionkaakapitu1"/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Zgłoszenia wewnętrzne mogą być dokonywane ustnie lub pisemnie.</w:t>
            </w:r>
          </w:p>
          <w:p>
            <w:pPr>
              <w:pStyle w:val="Textbody"/>
              <w:widowControl w:val="false"/>
              <w:numPr>
                <w:ilvl w:val="0"/>
                <w:numId w:val="80"/>
              </w:numPr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Zgłoszenie wewnętrzne ustne może być dokonane:</w:t>
            </w:r>
          </w:p>
          <w:p>
            <w:pPr>
              <w:pStyle w:val="Textbody"/>
              <w:widowControl w:val="false"/>
              <w:spacing w:lineRule="auto" w:line="240" w:before="0" w:after="0"/>
              <w:ind w:left="360" w:hanging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1) za pośrednictwem nagrywanej linii telefonicznej lub innego nagrywanego systemu komunikacji głosowej i dokumentowane jest za zgodą sygnalisty w formie:</w:t>
            </w:r>
          </w:p>
          <w:p>
            <w:pPr>
              <w:pStyle w:val="Textbody"/>
              <w:widowControl w:val="false"/>
              <w:spacing w:lineRule="auto" w:line="240" w:before="0" w:after="0"/>
              <w:ind w:left="675" w:hanging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a) nagrania rozmowy umożliwiającego jej wyszukanie, lub</w:t>
            </w:r>
          </w:p>
          <w:p>
            <w:pPr>
              <w:pStyle w:val="Textbody"/>
              <w:widowControl w:val="false"/>
              <w:spacing w:lineRule="auto" w:line="240" w:before="0" w:after="0"/>
              <w:ind w:left="675" w:hanging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b) kompletnej i dokładnej transkrypcji rozmowy dokonanej przez pracownika, o którym mowa w § 4 ust. 4 pkt 3. Sygnalista może dokonać sprawdzenia i zatwierdzenia transkrypcji rozmowy poprzez jej podpisanie,</w:t>
            </w:r>
          </w:p>
          <w:p>
            <w:pPr>
              <w:pStyle w:val="Textbody"/>
              <w:widowControl w:val="false"/>
              <w:spacing w:lineRule="auto" w:line="240" w:before="0" w:after="0"/>
              <w:ind w:left="360" w:hanging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2) za pośrednictwem nienagrywanej linii telefonicznej lub innego nienagrywanego systemu komunikacji głosowej dokumentowane jest w formie protokołu rozmowy, odtwarzającego dokładny przebieg tej rozmowy, sporządzonego przez pracownika, o którym mowa w § 4 ust. 4 pkt 3. Sygnalista może dokonać sprawdzenia i zatwierdzenia protokołu rozmowy poprzez jego podpisanie;</w:t>
            </w:r>
          </w:p>
          <w:p>
            <w:pPr>
              <w:pStyle w:val="Textbody"/>
              <w:widowControl w:val="false"/>
              <w:spacing w:lineRule="auto" w:line="240" w:before="0" w:after="0"/>
              <w:ind w:left="360" w:hanging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3) na wniosek sygnalisty podczas bezpośredniego spotkania zorganizowanego w terminie 14 dni od dnia otrzymania tego wniosku. W takim przypadku za zgodą sygnalisty zgłoszenie jest dokumentowane w formie:</w:t>
            </w:r>
          </w:p>
          <w:p>
            <w:pPr>
              <w:pStyle w:val="Textbody"/>
              <w:widowControl w:val="false"/>
              <w:spacing w:lineRule="auto" w:line="240" w:before="0" w:after="0"/>
              <w:ind w:left="675" w:hanging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a)  nagrania rozmowy umożliwiającego jej wyszukanie, lub</w:t>
            </w:r>
          </w:p>
          <w:p>
            <w:pPr>
              <w:pStyle w:val="Textbody"/>
              <w:widowControl w:val="false"/>
              <w:spacing w:lineRule="auto" w:line="240" w:before="0" w:after="0"/>
              <w:ind w:left="675" w:hanging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b) protokołu spotkania, odtwarzającego dokładny przebieg tego spotkania, przygotowanego przez pracownika, o którym mowa w § 4 ust. 4 pkt 3. Sygnalista może dokonać sprawdzenia, poprawienia i zatwierdzenia protokołu spotkania poprzez jego podpisanie.</w:t>
            </w:r>
          </w:p>
          <w:p>
            <w:pPr>
              <w:pStyle w:val="Textbody"/>
              <w:widowControl w:val="false"/>
              <w:numPr>
                <w:ilvl w:val="0"/>
                <w:numId w:val="81"/>
              </w:numPr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Zgłoszenie wewnętrzne pisemne może być dokonane w postaci papierowej lub elektronicznej.</w:t>
            </w:r>
          </w:p>
          <w:p>
            <w:pPr>
              <w:pStyle w:val="Textbody"/>
              <w:widowControl w:val="false"/>
              <w:numPr>
                <w:ilvl w:val="0"/>
                <w:numId w:val="82"/>
              </w:numPr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 xml:space="preserve">Zgłoszenia wewnętrzne, o których mowa w ust. 3 </w:t>
            </w:r>
            <w:r>
              <w:rPr>
                <w:rStyle w:val="Domylnaczcionkaakapitu1"/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mogą być zgłaszane poprzez dedykowane poufne kanały zgłoszeń funkcjonujące w Urzędzie/Starostwie, w szczególności:</w:t>
            </w:r>
          </w:p>
          <w:p>
            <w:pPr>
              <w:pStyle w:val="Textbody"/>
              <w:widowControl w:val="false"/>
              <w:spacing w:lineRule="auto" w:line="240" w:before="0" w:after="0"/>
              <w:ind w:left="360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Style w:val="Domylnaczcionkaakapitu1"/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1) za pomocą poczty elektronicznej na adres: adresmailowydouzupełnienia@um</w:t>
            </w:r>
            <w:hyperlink r:id="rId5">
              <w:r>
                <w:rPr>
                  <w:rStyle w:val="Czeinternetowe"/>
                  <w:rFonts w:cs="Calibri" w:ascii="Calibri" w:hAnsi="Calibri" w:asciiTheme="minorHAnsi" w:cstheme="minorHAnsi" w:hAnsiTheme="minorHAnsi"/>
                  <w:color w:val="000000"/>
                  <w:sz w:val="21"/>
                  <w:szCs w:val="21"/>
                  <w:u w:val="none"/>
                </w:rPr>
                <w:t>.eu</w:t>
              </w:r>
            </w:hyperlink>
            <w:r>
              <w:rPr>
                <w:rStyle w:val="Domylnaczcionkaakapitu1"/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 xml:space="preserve"> w zaszyfrowanym pliku,</w:t>
            </w:r>
          </w:p>
          <w:p>
            <w:pPr>
              <w:pStyle w:val="Textbody"/>
              <w:widowControl w:val="false"/>
              <w:spacing w:lineRule="auto" w:line="240" w:before="0" w:after="0"/>
              <w:ind w:left="360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Style w:val="Domylnaczcionkaakapitu1"/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2) poprzez stronę www….(</w:t>
            </w:r>
            <w:r>
              <w:rPr>
                <w:rStyle w:val="Domylnaczcionkaakapitu1"/>
                <w:rFonts w:cs="Calibri" w:ascii="Calibri" w:hAnsi="Calibri" w:asciiTheme="minorHAnsi" w:cstheme="minorHAnsi" w:hAnsiTheme="minorHAnsi"/>
                <w:i/>
                <w:color w:val="000000"/>
                <w:sz w:val="21"/>
                <w:szCs w:val="21"/>
              </w:rPr>
              <w:t>należy podać adres strony</w:t>
            </w:r>
            <w:r>
              <w:rPr>
                <w:rStyle w:val="Domylnaczcionkaakapitu1"/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)…,</w:t>
            </w:r>
          </w:p>
          <w:p>
            <w:pPr>
              <w:pStyle w:val="Textbody"/>
              <w:widowControl w:val="false"/>
              <w:spacing w:lineRule="auto" w:line="240" w:before="0" w:after="0"/>
              <w:ind w:left="360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Style w:val="Domylnaczcionkaakapitu1"/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3) z wykorzystaniem wewnętrznej sieci intranet,</w:t>
            </w:r>
          </w:p>
          <w:p>
            <w:pPr>
              <w:pStyle w:val="Textbody"/>
              <w:widowControl w:val="false"/>
              <w:spacing w:lineRule="auto" w:line="240" w:before="0" w:after="0"/>
              <w:ind w:left="360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Style w:val="Domylnaczcionkaakapitu1"/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4) w formie listownej na adres:…(</w:t>
            </w:r>
            <w:r>
              <w:rPr>
                <w:rStyle w:val="Domylnaczcionkaakapitu1"/>
                <w:rFonts w:cs="Calibri" w:ascii="Calibri" w:hAnsi="Calibri" w:asciiTheme="minorHAnsi" w:cstheme="minorHAnsi" w:hAnsiTheme="minorHAnsi"/>
                <w:i/>
                <w:color w:val="000000"/>
                <w:sz w:val="21"/>
                <w:szCs w:val="21"/>
              </w:rPr>
              <w:t>adres urzędu/starostwa</w:t>
            </w:r>
            <w:r>
              <w:rPr>
                <w:rStyle w:val="Domylnaczcionkaakapitu1"/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 xml:space="preserve">)….  z dopiskiem na kopercie, np. „zgłoszenie nieprawidłowości”, „ stanowisko, o którym mowa w § 4 ust. 4 pkt 3 </w:t>
            </w:r>
            <w:r>
              <w:rPr>
                <w:rStyle w:val="Domylnaczcionkaakapitu1"/>
                <w:rFonts w:cs="Calibri" w:ascii="Calibri" w:hAnsi="Calibri" w:asciiTheme="minorHAnsi" w:cstheme="minorHAnsi" w:hAnsiTheme="minorHAnsi"/>
                <w:i/>
                <w:color w:val="000000"/>
                <w:sz w:val="21"/>
                <w:szCs w:val="21"/>
              </w:rPr>
              <w:t>(należy wskazać konkretną komórkę</w:t>
            </w:r>
            <w:r>
              <w:rPr>
                <w:rStyle w:val="Domylnaczcionkaakapitu1"/>
                <w:rFonts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) – do rąk własnych”,</w:t>
            </w:r>
          </w:p>
          <w:p>
            <w:pPr>
              <w:pStyle w:val="Textbody"/>
              <w:widowControl w:val="false"/>
              <w:spacing w:lineRule="auto" w:line="240" w:before="0" w:after="0"/>
              <w:ind w:left="360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Style w:val="Domylnaczcionkaakapitu1"/>
                <w:rFonts w:eastAsia="Calibri"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 xml:space="preserve">5) </w:t>
            </w:r>
            <w:r>
              <w:rPr>
                <w:rFonts w:eastAsia="Calibri" w:cs="Calibri" w:ascii="Calibri" w:hAnsi="Calibri" w:asciiTheme="minorHAnsi" w:cstheme="minorHAnsi" w:hAnsiTheme="minorHAnsi"/>
                <w:color w:val="000000"/>
                <w:sz w:val="21"/>
                <w:szCs w:val="21"/>
              </w:rPr>
              <w:t>poprzez wrzucenie pisma do skrzynki na listy zamieszczonej przy drzwiach w pokoju nr….</w:t>
            </w:r>
          </w:p>
        </w:tc>
      </w:tr>
      <w:tr>
        <w:trPr>
          <w:trHeight w:val="506" w:hRule="atLeast"/>
        </w:trPr>
        <w:tc>
          <w:tcPr>
            <w:tcW w:w="10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Klauzula informacyjna</w:t>
            </w: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  <w:highlight w:val="yellow"/>
              </w:rPr>
              <w:br/>
            </w: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</w:rPr>
              <w:t>link: …..</w:t>
            </w:r>
          </w:p>
        </w:tc>
      </w:tr>
    </w:tbl>
    <w:p>
      <w:pPr>
        <w:pStyle w:val="Standard"/>
        <w:jc w:val="center"/>
        <w:rPr>
          <w:rFonts w:ascii="Calibri" w:hAnsi="Calibri" w:cs="Calibri" w:asciiTheme="minorHAnsi" w:cstheme="minorHAnsi" w:hAnsiTheme="minorHAnsi"/>
          <w:b/>
          <w:color w:val="000000"/>
          <w:sz w:val="20"/>
        </w:rPr>
      </w:pPr>
      <w:r>
        <w:rPr>
          <w:rFonts w:cs="Calibri" w:cstheme="minorHAnsi" w:ascii="Calibri" w:hAnsi="Calibri"/>
          <w:b/>
          <w:color w:val="000000"/>
          <w:sz w:val="20"/>
        </w:rPr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color w:val="000000"/>
          <w:sz w:val="32"/>
          <w:szCs w:val="32"/>
        </w:rPr>
        <w:t>Karta zgłoszenia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eastAsia="Arial" w:cs="Calibri" w:ascii="Calibri" w:hAnsi="Calibri" w:asciiTheme="minorHAnsi" w:cstheme="minorHAnsi" w:hAnsiTheme="minorHAnsi"/>
          <w:color w:val="000000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(załącznik do karty informacyjnej)</w:t>
      </w:r>
    </w:p>
    <w:p>
      <w:pPr>
        <w:pStyle w:val="Standard"/>
        <w:rPr>
          <w:rFonts w:ascii="Calibri" w:hAnsi="Calibri" w:cs="Calibri" w:asciiTheme="minorHAnsi" w:cstheme="minorHAnsi" w:hAnsiTheme="minorHAnsi"/>
          <w:color w:val="000000"/>
          <w:sz w:val="22"/>
          <w:szCs w:val="22"/>
        </w:rPr>
      </w:pPr>
      <w:r>
        <w:rPr>
          <w:rFonts w:cs="Calibri" w:cstheme="minorHAnsi" w:ascii="Calibri" w:hAnsi="Calibri"/>
          <w:color w:val="000000"/>
          <w:sz w:val="22"/>
          <w:szCs w:val="22"/>
        </w:rPr>
      </w:r>
    </w:p>
    <w:p>
      <w:pPr>
        <w:pStyle w:val="Standard"/>
        <w:numPr>
          <w:ilvl w:val="0"/>
          <w:numId w:val="83"/>
        </w:numPr>
        <w:tabs>
          <w:tab w:val="clear" w:pos="720"/>
          <w:tab w:val="left" w:pos="-3" w:leader="none"/>
        </w:tabs>
        <w:spacing w:lineRule="auto" w:line="360"/>
        <w:ind w:left="357" w:hanging="357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 xml:space="preserve">Imię i nazwisko, </w:t>
      </w:r>
      <w:r>
        <w:rPr>
          <w:rFonts w:cs="Calibri" w:ascii="Calibri" w:hAnsi="Calibri" w:asciiTheme="minorHAnsi" w:cstheme="minorHAnsi" w:hAnsiTheme="minorHAnsi"/>
          <w:color w:val="000000"/>
          <w:szCs w:val="22"/>
        </w:rPr>
        <w:t>adres korespondencyjny lub adres poczty elektronicznej. W przypadku podania tylko poczty elektronicznej wymagane jest podanie numer telefonu kontaktowego</w:t>
      </w:r>
    </w:p>
    <w:p>
      <w:pPr>
        <w:pStyle w:val="Standard"/>
        <w:tabs>
          <w:tab w:val="clear" w:pos="720"/>
          <w:tab w:val="left" w:pos="-3" w:leader="none"/>
        </w:tabs>
        <w:spacing w:lineRule="auto" w:line="360"/>
        <w:ind w:left="357" w:hanging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..............................................................…………………………………….......................................</w:t>
      </w:r>
    </w:p>
    <w:p>
      <w:pPr>
        <w:pStyle w:val="Standard"/>
        <w:numPr>
          <w:ilvl w:val="0"/>
          <w:numId w:val="84"/>
        </w:numPr>
        <w:tabs>
          <w:tab w:val="clear" w:pos="720"/>
          <w:tab w:val="left" w:pos="-3" w:leader="none"/>
        </w:tabs>
        <w:spacing w:lineRule="auto" w:line="360"/>
        <w:ind w:left="357" w:hanging="357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Stanowisko lub funkcja (nie jest wymagane w przypadku zgłoszenia anonimowego)</w:t>
        <w:br/>
        <w:t>………………………………………………………………………………………………………………………………..……</w:t>
      </w:r>
    </w:p>
    <w:p>
      <w:pPr>
        <w:pStyle w:val="Standard"/>
        <w:numPr>
          <w:ilvl w:val="0"/>
          <w:numId w:val="85"/>
        </w:numPr>
        <w:tabs>
          <w:tab w:val="clear" w:pos="720"/>
          <w:tab w:val="left" w:pos="-3" w:leader="none"/>
        </w:tabs>
        <w:spacing w:lineRule="auto" w:line="360"/>
        <w:ind w:left="357" w:hanging="357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Data oraz miejsce zaistnienia nieprawidłowości lub data i miejsce pozyskania informacji o nieprawidłowościach</w:t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</w:t>
      </w:r>
    </w:p>
    <w:p>
      <w:pPr>
        <w:pStyle w:val="Standard"/>
        <w:numPr>
          <w:ilvl w:val="0"/>
          <w:numId w:val="86"/>
        </w:numPr>
        <w:tabs>
          <w:tab w:val="clear" w:pos="720"/>
          <w:tab w:val="left" w:pos="-3" w:leader="none"/>
        </w:tabs>
        <w:ind w:left="357" w:hanging="357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Opis sytuacji lub okoliczności, które doprowadziły lub mogą doprowadzić do wystąpienia nieprawidłowości</w:t>
      </w:r>
    </w:p>
    <w:p>
      <w:pPr>
        <w:pStyle w:val="Standard"/>
        <w:tabs>
          <w:tab w:val="clear" w:pos="720"/>
          <w:tab w:val="left" w:pos="-3" w:leader="none"/>
        </w:tabs>
        <w:spacing w:lineRule="auto" w:line="360"/>
        <w:ind w:left="357" w:hanging="215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 xml:space="preserve"> 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..……………………………………………………………………………………………………………………….……………………………..</w:t>
      </w:r>
    </w:p>
    <w:p>
      <w:pPr>
        <w:pStyle w:val="Standard"/>
        <w:tabs>
          <w:tab w:val="clear" w:pos="720"/>
          <w:tab w:val="left" w:pos="-3" w:leader="none"/>
        </w:tabs>
        <w:ind w:left="357" w:hanging="357"/>
        <w:jc w:val="both"/>
        <w:rPr>
          <w:rFonts w:ascii="Calibri" w:hAnsi="Calibri" w:cs="Calibri" w:asciiTheme="minorHAnsi" w:cstheme="minorHAnsi" w:hAnsiTheme="minorHAnsi"/>
          <w:color w:val="000000"/>
          <w:sz w:val="22"/>
          <w:szCs w:val="22"/>
        </w:rPr>
      </w:pPr>
      <w:r>
        <w:rPr>
          <w:rFonts w:cs="Calibri" w:cstheme="minorHAnsi" w:ascii="Calibri" w:hAnsi="Calibri"/>
          <w:color w:val="000000"/>
          <w:sz w:val="22"/>
          <w:szCs w:val="22"/>
        </w:rPr>
      </w:r>
    </w:p>
    <w:p>
      <w:pPr>
        <w:pStyle w:val="Standard"/>
        <w:numPr>
          <w:ilvl w:val="0"/>
          <w:numId w:val="87"/>
        </w:numPr>
        <w:tabs>
          <w:tab w:val="clear" w:pos="720"/>
          <w:tab w:val="left" w:pos="-3" w:leader="none"/>
        </w:tabs>
        <w:ind w:left="357" w:hanging="357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Wskazanie osoby, której dotyczy zgłoszenie</w:t>
      </w:r>
    </w:p>
    <w:p>
      <w:pPr>
        <w:pStyle w:val="Standard"/>
        <w:spacing w:lineRule="auto" w:line="360"/>
        <w:ind w:left="360" w:hanging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...…………………………………………………………………………………………………………………………………………………………………………………………………………………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andard"/>
        <w:numPr>
          <w:ilvl w:val="0"/>
          <w:numId w:val="88"/>
        </w:numPr>
        <w:tabs>
          <w:tab w:val="clear" w:pos="720"/>
          <w:tab w:val="left" w:pos="-3" w:leader="none"/>
        </w:tabs>
        <w:spacing w:lineRule="auto" w:line="360"/>
        <w:ind w:left="357" w:hanging="357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 xml:space="preserve">Wskazanie ewentualnych świadków </w:t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andard"/>
        <w:numPr>
          <w:ilvl w:val="0"/>
          <w:numId w:val="89"/>
        </w:numPr>
        <w:tabs>
          <w:tab w:val="clear" w:pos="720"/>
          <w:tab w:val="left" w:pos="-3" w:leader="none"/>
        </w:tabs>
        <w:spacing w:lineRule="auto" w:line="360"/>
        <w:ind w:left="357" w:hanging="357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Wskazanie ewentualnych dowodów i informacji, jakimi dysponuje zgłaszający, które mogą okazać się pomocne w procesie rozpatrywania nieprawidłowości</w:t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andard"/>
        <w:tabs>
          <w:tab w:val="clear" w:pos="720"/>
          <w:tab w:val="left" w:pos="0" w:leader="none"/>
        </w:tabs>
        <w:ind w:left="36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tabs>
          <w:tab w:val="clear" w:pos="720"/>
          <w:tab w:val="left" w:pos="0" w:leader="none"/>
        </w:tabs>
        <w:ind w:left="36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Standard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eastAsia="Arial" w:cs="Calibri" w:ascii="Calibri" w:hAnsi="Calibri" w:asciiTheme="minorHAnsi" w:cstheme="minorHAnsi" w:hAnsiTheme="minorHAnsi"/>
          <w:color w:val="000000"/>
        </w:rPr>
        <w:t xml:space="preserve">                                                              </w:t>
      </w:r>
      <w:r>
        <w:rPr>
          <w:rFonts w:eastAsia="Arial" w:cs="Calibri" w:ascii="Calibri" w:hAnsi="Calibri" w:asciiTheme="minorHAnsi" w:cstheme="minorHAnsi" w:hAnsiTheme="minorHAnsi"/>
          <w:color w:val="000000"/>
        </w:rPr>
        <w:tab/>
        <w:tab/>
        <w:tab/>
        <w:tab/>
        <w:t xml:space="preserve">     </w:t>
      </w:r>
      <w:r>
        <w:rPr>
          <w:rFonts w:eastAsia="Arial" w:cs="Calibri" w:ascii="Calibri" w:hAnsi="Calibri" w:asciiTheme="minorHAnsi" w:cstheme="minorHAnsi" w:hAnsiTheme="minorHAnsi"/>
          <w:color w:val="000000"/>
          <w:sz w:val="16"/>
          <w:szCs w:val="16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16"/>
          <w:szCs w:val="16"/>
        </w:rPr>
        <w:t>………………………………………………………………………..……..</w:t>
      </w:r>
    </w:p>
    <w:p>
      <w:pPr>
        <w:pStyle w:val="Zawartotabeli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eastAsia="Arial" w:cs="Calibri" w:ascii="Calibri" w:hAnsi="Calibri" w:asciiTheme="minorHAnsi" w:cstheme="minorHAnsi" w:hAnsiTheme="minorHAnsi"/>
          <w:color w:val="000000"/>
        </w:rPr>
        <w:t xml:space="preserve">                                                                      </w:t>
      </w:r>
      <w:r>
        <w:rPr>
          <w:rFonts w:eastAsia="Arial" w:cs="Calibri" w:ascii="Calibri" w:hAnsi="Calibri" w:asciiTheme="minorHAnsi" w:cstheme="minorHAnsi" w:hAnsiTheme="minorHAnsi"/>
          <w:color w:val="000000"/>
        </w:rPr>
        <w:tab/>
        <w:tab/>
        <w:tab/>
        <w:t xml:space="preserve">      </w:t>
      </w:r>
      <w:r>
        <w:rPr>
          <w:rFonts w:cs="Calibri" w:ascii="Calibri" w:hAnsi="Calibri" w:asciiTheme="minorHAnsi" w:cstheme="minorHAnsi" w:hAnsiTheme="minorHAnsi"/>
          <w:color w:val="000000"/>
          <w:sz w:val="16"/>
          <w:szCs w:val="16"/>
        </w:rPr>
        <w:t>data i czytelny podpis osoby dokonującej zgłoszenia</w:t>
      </w:r>
    </w:p>
    <w:p>
      <w:pPr>
        <w:pStyle w:val="Zawartotabeli"/>
        <w:tabs>
          <w:tab w:val="clear" w:pos="720"/>
          <w:tab w:val="left" w:pos="0" w:leader="none"/>
        </w:tabs>
        <w:ind w:left="36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eastAsia="Arial" w:cs="Calibri" w:ascii="Calibri" w:hAnsi="Calibri" w:asciiTheme="minorHAnsi" w:cstheme="minorHAnsi" w:hAnsiTheme="minorHAnsi"/>
          <w:color w:val="000000"/>
          <w:sz w:val="16"/>
          <w:szCs w:val="16"/>
        </w:rPr>
        <w:t xml:space="preserve">                                                                                                     </w:t>
      </w:r>
      <w:r>
        <w:rPr>
          <w:rFonts w:eastAsia="Arial" w:cs="Calibri" w:ascii="Calibri" w:hAnsi="Calibri" w:asciiTheme="minorHAnsi" w:cstheme="minorHAnsi" w:hAnsiTheme="minorHAnsi"/>
          <w:color w:val="000000"/>
          <w:sz w:val="16"/>
          <w:szCs w:val="16"/>
        </w:rPr>
        <w:tab/>
        <w:tab/>
        <w:tab/>
        <w:t xml:space="preserve">                                                               </w:t>
      </w:r>
      <w:r>
        <w:rPr>
          <w:rFonts w:cs="Calibri" w:ascii="Calibri" w:hAnsi="Calibri" w:asciiTheme="minorHAnsi" w:cstheme="minorHAnsi" w:hAnsiTheme="minorHAnsi"/>
          <w:b/>
          <w:bCs/>
          <w:color w:val="000000"/>
          <w:sz w:val="21"/>
          <w:szCs w:val="21"/>
        </w:rPr>
        <w:t>Załącznik nr 1b do</w:t>
      </w:r>
    </w:p>
    <w:p>
      <w:pPr>
        <w:pStyle w:val="UMTytu2"/>
        <w:spacing w:before="0" w:after="0"/>
        <w:jc w:val="right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b w:val="false"/>
          <w:color w:val="000000"/>
          <w:sz w:val="21"/>
          <w:szCs w:val="21"/>
        </w:rPr>
        <w:t>wewnętrznej procedury dokonywania zgłoszeń naruszeń prawa</w:t>
      </w:r>
    </w:p>
    <w:p>
      <w:pPr>
        <w:pStyle w:val="UMTytu2"/>
        <w:spacing w:before="0" w:after="0"/>
        <w:jc w:val="right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b w:val="false"/>
          <w:color w:val="000000"/>
          <w:sz w:val="21"/>
          <w:szCs w:val="21"/>
        </w:rPr>
        <w:t>i podejmowania działań następczych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color w:val="000000"/>
        </w:rPr>
        <w:t>Formularz zgłoszenia wewnętrznego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color w:val="000000"/>
        </w:rPr>
        <w:t>w …....................................</w:t>
      </w:r>
    </w:p>
    <w:p>
      <w:pPr>
        <w:pStyle w:val="Textbody"/>
        <w:tabs>
          <w:tab w:val="clear" w:pos="720"/>
          <w:tab w:val="center" w:pos="4755" w:leader="none"/>
        </w:tabs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14"/>
          <w:szCs w:val="14"/>
        </w:rPr>
        <w:tab/>
        <w:t xml:space="preserve">(nazwa jednostki)  </w:t>
      </w:r>
    </w:p>
    <w:tbl>
      <w:tblPr>
        <w:tblW w:w="9710" w:type="dxa"/>
        <w:jc w:val="left"/>
        <w:tblInd w:w="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9710"/>
      </w:tblGrid>
      <w:tr>
        <w:trPr/>
        <w:tc>
          <w:tcPr>
            <w:tcW w:w="9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Data sporządzenia</w:t>
            </w: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:</w:t>
            </w:r>
          </w:p>
        </w:tc>
      </w:tr>
      <w:tr>
        <w:trPr>
          <w:trHeight w:val="691" w:hRule="atLeast"/>
        </w:trPr>
        <w:tc>
          <w:tcPr>
            <w:tcW w:w="9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Imię i nazwisko:</w:t>
            </w:r>
          </w:p>
          <w:p>
            <w:pPr>
              <w:pStyle w:val="Zawartotabeli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 xml:space="preserve">Dane kontaktowe: </w:t>
            </w:r>
            <w:r>
              <w:rPr>
                <w:rFonts w:cs="Calibri" w:ascii="Calibri" w:hAnsi="Calibri" w:asciiTheme="minorHAnsi" w:cstheme="minorHAnsi" w:hAnsiTheme="minorHAnsi"/>
                <w:color w:val="000000"/>
                <w:szCs w:val="22"/>
              </w:rPr>
              <w:t>adres korespondencyjny lub adres poczty elektronicznej. W przypadku podania tylko poczty elektronicznej wymagane jest podanie numer telefonu kontaktowego</w:t>
            </w:r>
          </w:p>
        </w:tc>
      </w:tr>
      <w:tr>
        <w:trPr/>
        <w:tc>
          <w:tcPr>
            <w:tcW w:w="9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Jakiego obszaru nieprawidłowości dotyczy Twoje zgłoszenie?</w:t>
            </w:r>
          </w:p>
          <w:p>
            <w:pPr>
              <w:pStyle w:val="Zawartotabeli"/>
              <w:widowControl w:val="false"/>
              <w:numPr>
                <w:ilvl w:val="0"/>
                <w:numId w:val="19"/>
              </w:numPr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etyki pracowników</w:t>
            </w:r>
          </w:p>
          <w:p>
            <w:pPr>
              <w:pStyle w:val="Normal"/>
              <w:widowControl w:val="false"/>
              <w:numPr>
                <w:ilvl w:val="0"/>
                <w:numId w:val="19"/>
              </w:numPr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korupcji;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zamówień publicznych;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usług, produktów i rynków finansowych;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przeciwdziałania praniu pieniędzy oraz finansowaniu terroryzmu;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bezpieczeństwa produktów i ich zgodności z wymogami;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bezpieczeństwa transportu;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ochrony środowiska;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ochrony radiologicznej i bezpieczeństwa jądrowego;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bezpieczeństwa żywności i pasz;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zdrowia i dobrostanu zwierząt;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zdrowia publicznego;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ochrony konsumentów;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ochrony prywatności i danych osobowych;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bezpieczeństwa sieci i systemów teleinformatycznych;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interesów finansowych Skarbu Państwa RP, jednostki samorządu terytorialnego oraz Unii Europejskiej;</w:t>
            </w:r>
          </w:p>
          <w:p>
            <w:pPr>
              <w:pStyle w:val="UMTrescpunktu"/>
              <w:widowControl w:val="false"/>
              <w:numPr>
                <w:ilvl w:val="0"/>
                <w:numId w:val="19"/>
              </w:numPr>
              <w:spacing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4"/>
              </w:rPr>
              <w:t>rynku wewnętrznego Unii Europejskiej, w tym publicznoprawnych zasad konkurencji             i pomocy państwa oraz opodatkowania osób prawnych;</w:t>
            </w:r>
          </w:p>
          <w:p>
            <w:pPr>
              <w:pStyle w:val="Zawartotabeli"/>
              <w:widowControl w:val="false"/>
              <w:numPr>
                <w:ilvl w:val="0"/>
                <w:numId w:val="19"/>
              </w:numPr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color w:val="000000"/>
                <w:szCs w:val="22"/>
              </w:rPr>
              <w:t>konstytucyjnych wolności i praw człowieka i obywatela.</w:t>
            </w:r>
          </w:p>
        </w:tc>
      </w:tr>
      <w:tr>
        <w:trPr>
          <w:trHeight w:val="3075" w:hRule="atLeast"/>
        </w:trPr>
        <w:tc>
          <w:tcPr>
            <w:tcW w:w="9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Treść zgłoszenia</w:t>
            </w:r>
          </w:p>
          <w:p>
            <w:pPr>
              <w:pStyle w:val="Textbody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i/>
                <w:iCs/>
                <w:color w:val="000000"/>
                <w:sz w:val="22"/>
                <w:szCs w:val="22"/>
              </w:rPr>
              <w:t>Opisz szczegółowo swoje podejrzenia oraz okoliczności ich zajścia zgodnie z wiedzą, którą posiadasz</w:t>
            </w:r>
          </w:p>
          <w:p>
            <w:pPr>
              <w:pStyle w:val="Textbody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i/>
                <w:iCs/>
                <w:color w:val="000000"/>
                <w:sz w:val="22"/>
                <w:szCs w:val="22"/>
              </w:rPr>
              <w:t>(z poniższej listy wybierz elementy, które najlepiej pasują do sytuacji, którą chcesz opisać):</w:t>
            </w:r>
          </w:p>
          <w:p>
            <w:pPr>
              <w:pStyle w:val="Textbody"/>
              <w:widowControl w:val="false"/>
              <w:numPr>
                <w:ilvl w:val="0"/>
                <w:numId w:val="20"/>
              </w:numPr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i/>
                <w:iCs/>
                <w:color w:val="000000"/>
                <w:sz w:val="22"/>
                <w:szCs w:val="22"/>
              </w:rPr>
              <w:t>Podaj dane osób, które dopuściły się nieprawidłowości, których dotyczy zgłoszenie (nazwiska, stanowiska).</w:t>
            </w:r>
          </w:p>
          <w:p>
            <w:pPr>
              <w:pStyle w:val="Textbody"/>
              <w:widowControl w:val="false"/>
              <w:numPr>
                <w:ilvl w:val="0"/>
                <w:numId w:val="20"/>
              </w:numPr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i/>
                <w:iCs/>
                <w:color w:val="000000"/>
                <w:sz w:val="22"/>
                <w:szCs w:val="22"/>
              </w:rPr>
              <w:t>Podaj dane osób, które mogły stać się ofiarami nieprawidłowości.</w:t>
            </w:r>
          </w:p>
          <w:p>
            <w:pPr>
              <w:pStyle w:val="Textbody"/>
              <w:widowControl w:val="false"/>
              <w:numPr>
                <w:ilvl w:val="0"/>
                <w:numId w:val="20"/>
              </w:numPr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i/>
                <w:iCs/>
                <w:color w:val="000000"/>
                <w:sz w:val="22"/>
                <w:szCs w:val="22"/>
              </w:rPr>
              <w:t>Jakie zachowanie/działania chcesz zgłosić?</w:t>
            </w:r>
          </w:p>
          <w:p>
            <w:pPr>
              <w:pStyle w:val="Textbody"/>
              <w:widowControl w:val="false"/>
              <w:numPr>
                <w:ilvl w:val="0"/>
                <w:numId w:val="20"/>
              </w:numPr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i/>
                <w:iCs/>
                <w:color w:val="000000"/>
                <w:sz w:val="22"/>
                <w:szCs w:val="22"/>
              </w:rPr>
              <w:t>Kiedy mniej więcej się zaczęło? Czy trwa nadal?</w:t>
            </w:r>
          </w:p>
          <w:p>
            <w:pPr>
              <w:pStyle w:val="Textbody"/>
              <w:widowControl w:val="false"/>
              <w:numPr>
                <w:ilvl w:val="0"/>
                <w:numId w:val="20"/>
              </w:numPr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i/>
                <w:iCs/>
                <w:color w:val="000000"/>
                <w:sz w:val="22"/>
                <w:szCs w:val="22"/>
              </w:rPr>
              <w:t>Czy powiadomiłeś już kogoś o tej sprawie? Napisz kto to był (np. osoby w Urzędzie/Starostwie, media, inne władze).</w:t>
            </w:r>
          </w:p>
          <w:p>
            <w:pPr>
              <w:pStyle w:val="Textbody"/>
              <w:widowControl w:val="false"/>
              <w:numPr>
                <w:ilvl w:val="0"/>
                <w:numId w:val="20"/>
              </w:numPr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i/>
                <w:iCs/>
                <w:color w:val="000000"/>
                <w:sz w:val="22"/>
                <w:szCs w:val="22"/>
              </w:rPr>
              <w:t>Czy istnieją relacje pomiędzy wskazanymi powyżej osobami?</w:t>
            </w:r>
          </w:p>
          <w:p>
            <w:pPr>
              <w:pStyle w:val="Textbody"/>
              <w:widowControl w:val="false"/>
              <w:numPr>
                <w:ilvl w:val="0"/>
                <w:numId w:val="20"/>
              </w:numPr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i/>
                <w:iCs/>
                <w:color w:val="000000"/>
                <w:sz w:val="22"/>
                <w:szCs w:val="22"/>
              </w:rPr>
              <w:t>Jakie skutki spowodowały lub mogą spowodować opisane przez Ciebie nieprawidłowości?</w:t>
            </w:r>
          </w:p>
        </w:tc>
      </w:tr>
      <w:tr>
        <w:trPr>
          <w:trHeight w:val="863" w:hRule="atLeast"/>
        </w:trPr>
        <w:tc>
          <w:tcPr>
            <w:tcW w:w="9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Fakultatywnie:  Dowody i świadkowie</w:t>
            </w:r>
          </w:p>
          <w:p>
            <w:pPr>
              <w:pStyle w:val="Zawartotabeli"/>
              <w:widowControl w:val="false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i/>
                <w:iCs/>
                <w:color w:val="000000"/>
                <w:sz w:val="22"/>
                <w:szCs w:val="22"/>
              </w:rPr>
              <w:t>Wskaż i dołącz posiadane dowody, potwierdzające opisywany stan oraz wskaż świadków</w:t>
            </w:r>
          </w:p>
        </w:tc>
      </w:tr>
      <w:tr>
        <w:trPr/>
        <w:tc>
          <w:tcPr>
            <w:tcW w:w="9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>
                <w:rFonts w:ascii="Calibri" w:hAnsi="Calibri" w:cs="Calibri" w:asciiTheme="minorHAnsi" w:cstheme="minorHAnsi" w:hAnsiTheme="minorHAnsi"/>
                <w:strike/>
                <w:color w:val="000000"/>
              </w:rPr>
            </w:pPr>
            <w:r>
              <w:rPr>
                <w:rFonts w:cs="Calibri" w:cstheme="minorHAnsi" w:ascii="Calibri" w:hAnsi="Calibri"/>
                <w:strike/>
                <w:color w:val="000000"/>
              </w:rPr>
            </w:r>
          </w:p>
          <w:p>
            <w:pPr>
              <w:pStyle w:val="Zawartotabeli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 xml:space="preserve">                                                                                                   </w:t>
            </w: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……………………………………………………………………</w:t>
            </w: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..……..</w:t>
            </w:r>
          </w:p>
          <w:p>
            <w:pPr>
              <w:pStyle w:val="Zawartotabeli"/>
              <w:widowControl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 xml:space="preserve">                                                                                                   </w:t>
            </w:r>
            <w:r>
              <w:rPr>
                <w:rFonts w:cs="Calibri" w:ascii="Calibri" w:hAnsi="Calibri" w:asciiTheme="minorHAnsi" w:cstheme="minorHAnsi" w:hAnsiTheme="minorHAnsi"/>
                <w:color w:val="000000"/>
                <w:sz w:val="22"/>
                <w:szCs w:val="22"/>
              </w:rPr>
              <w:t>data i czytelny podpis osoby dokonującej zgłoszenia</w:t>
            </w:r>
          </w:p>
        </w:tc>
      </w:tr>
    </w:tbl>
    <w:p>
      <w:pPr>
        <w:sectPr>
          <w:headerReference w:type="default" r:id="rId6"/>
          <w:headerReference w:type="first" r:id="rId7"/>
          <w:footerReference w:type="default" r:id="rId8"/>
          <w:footnotePr>
            <w:numFmt w:val="decimal"/>
          </w:footnotePr>
          <w:type w:val="nextPage"/>
          <w:pgSz w:w="11906" w:h="16838"/>
          <w:pgMar w:left="1134" w:right="1134" w:gutter="0" w:header="708" w:top="765" w:footer="708" w:bottom="1134"/>
          <w:pgNumType w:fmt="decimal"/>
          <w:formProt w:val="false"/>
          <w:titlePg/>
          <w:textDirection w:val="lrTb"/>
          <w:docGrid w:type="default" w:linePitch="299" w:charSpace="20480"/>
        </w:sectPr>
      </w:pPr>
    </w:p>
    <w:p>
      <w:pPr>
        <w:pStyle w:val="UMTrescpunktu"/>
        <w:numPr>
          <w:ilvl w:val="0"/>
          <w:numId w:val="0"/>
        </w:numPr>
        <w:spacing w:before="0" w:after="0"/>
        <w:ind w:left="0" w:firstLine="552"/>
        <w:jc w:val="right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color w:val="000000"/>
          <w:sz w:val="21"/>
          <w:szCs w:val="21"/>
        </w:rPr>
        <w:t>Załącznik nr 2 do</w:t>
      </w:r>
    </w:p>
    <w:p>
      <w:pPr>
        <w:pStyle w:val="UMTytu2"/>
        <w:spacing w:before="0" w:after="0"/>
        <w:jc w:val="right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b w:val="false"/>
          <w:color w:val="000000"/>
          <w:sz w:val="21"/>
          <w:szCs w:val="21"/>
        </w:rPr>
        <w:t>wewnętrznej procedury dokonywania zgłoszeń naruszeń prawa</w:t>
      </w:r>
    </w:p>
    <w:p>
      <w:pPr>
        <w:pStyle w:val="UMTytu2"/>
        <w:spacing w:before="0" w:after="0"/>
        <w:jc w:val="right"/>
        <w:rPr>
          <w:rFonts w:ascii="Calibri" w:hAnsi="Calibri" w:cs="Calibri" w:asciiTheme="minorHAnsi" w:cstheme="minorHAnsi" w:hAnsiTheme="minorHAnsi"/>
        </w:rPr>
      </w:pPr>
      <w:r>
        <w:rPr>
          <w:rStyle w:val="Domylnaczcionkaakapitu1"/>
          <w:rFonts w:cs="Calibri" w:ascii="Calibri" w:hAnsi="Calibri" w:asciiTheme="minorHAnsi" w:cstheme="minorHAnsi" w:hAnsiTheme="minorHAnsi"/>
          <w:b w:val="false"/>
          <w:color w:val="000000"/>
          <w:sz w:val="21"/>
          <w:szCs w:val="21"/>
        </w:rPr>
        <w:t>i podejmowania działań następczych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b/>
          <w:bCs/>
          <w:color w:val="000000"/>
          <w:sz w:val="22"/>
          <w:szCs w:val="22"/>
        </w:rPr>
      </w:pPr>
      <w:r>
        <w:rPr>
          <w:rFonts w:cs="Calibri" w:cstheme="minorHAnsi" w:ascii="Calibri" w:hAnsi="Calibri"/>
          <w:b/>
          <w:bCs/>
          <w:color w:val="000000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color w:val="000000"/>
          <w:sz w:val="32"/>
          <w:szCs w:val="22"/>
        </w:rPr>
        <w:t>REJESTR ZGŁOSZEŃ WEWNĘTRZNYCH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b/>
          <w:bCs/>
          <w:color w:val="000000"/>
          <w:sz w:val="32"/>
          <w:szCs w:val="22"/>
        </w:rPr>
        <w:t>w ……………………………………..</w:t>
      </w:r>
    </w:p>
    <w:p>
      <w:pPr>
        <w:pStyle w:val="Standard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 w:val="14"/>
          <w:szCs w:val="14"/>
        </w:rPr>
        <w:tab/>
        <w:tab/>
        <w:tab/>
        <w:tab/>
        <w:tab/>
        <w:tab/>
        <w:tab/>
        <w:tab/>
        <w:tab/>
        <w:tab/>
        <w:t>(nazwa jednostki)</w:t>
      </w:r>
    </w:p>
    <w:p>
      <w:pPr>
        <w:pStyle w:val="Standard"/>
        <w:rPr>
          <w:rFonts w:ascii="Calibri" w:hAnsi="Calibri" w:cs="Calibri" w:asciiTheme="minorHAnsi" w:cstheme="minorHAnsi" w:hAnsiTheme="minorHAnsi"/>
          <w:color w:val="000000"/>
          <w:sz w:val="14"/>
          <w:szCs w:val="14"/>
        </w:rPr>
      </w:pPr>
      <w:r>
        <w:rPr>
          <w:rFonts w:cs="Calibri" w:cstheme="minorHAnsi" w:ascii="Calibri" w:hAnsi="Calibri"/>
          <w:color w:val="000000"/>
          <w:sz w:val="14"/>
          <w:szCs w:val="14"/>
        </w:rPr>
      </w:r>
    </w:p>
    <w:p>
      <w:pPr>
        <w:pStyle w:val="Standard"/>
        <w:rPr>
          <w:rFonts w:ascii="Calibri" w:hAnsi="Calibri" w:cs="Calibri" w:asciiTheme="minorHAnsi" w:cstheme="minorHAnsi" w:hAnsiTheme="minorHAnsi"/>
          <w:color w:val="000000"/>
          <w:sz w:val="14"/>
          <w:szCs w:val="14"/>
        </w:rPr>
      </w:pPr>
      <w:r>
        <w:rPr>
          <w:rFonts w:cs="Calibri" w:cstheme="minorHAnsi" w:ascii="Calibri" w:hAnsi="Calibri"/>
          <w:color w:val="000000"/>
          <w:sz w:val="14"/>
          <w:szCs w:val="14"/>
        </w:rPr>
      </w:r>
    </w:p>
    <w:p>
      <w:pPr>
        <w:pStyle w:val="Standard"/>
        <w:rPr>
          <w:rFonts w:ascii="Calibri" w:hAnsi="Calibri" w:cs="Calibri" w:asciiTheme="minorHAnsi" w:cstheme="minorHAnsi" w:hAnsiTheme="minorHAnsi"/>
          <w:color w:val="000000"/>
          <w:sz w:val="14"/>
          <w:szCs w:val="14"/>
        </w:rPr>
      </w:pPr>
      <w:r>
        <w:rPr>
          <w:rFonts w:cs="Calibri" w:cstheme="minorHAnsi" w:ascii="Calibri" w:hAnsi="Calibri"/>
          <w:color w:val="000000"/>
          <w:sz w:val="14"/>
          <w:szCs w:val="14"/>
        </w:rPr>
      </w:r>
    </w:p>
    <w:tbl>
      <w:tblPr>
        <w:tblW w:w="14809" w:type="dxa"/>
        <w:jc w:val="left"/>
        <w:tblInd w:w="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790"/>
        <w:gridCol w:w="797"/>
        <w:gridCol w:w="2131"/>
        <w:gridCol w:w="2682"/>
        <w:gridCol w:w="2134"/>
        <w:gridCol w:w="1408"/>
        <w:gridCol w:w="1497"/>
        <w:gridCol w:w="1927"/>
        <w:gridCol w:w="1441"/>
      </w:tblGrid>
      <w:tr>
        <w:trPr>
          <w:trHeight w:val="927" w:hRule="atLeast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DDDDD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4"/>
                <w:szCs w:val="14"/>
              </w:rPr>
              <w:t>Nr zgłoszenia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DDDDD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4"/>
                <w:szCs w:val="14"/>
              </w:rPr>
              <w:t>Data dokonania zgłoszenia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DDDDD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4"/>
                <w:szCs w:val="14"/>
              </w:rPr>
              <w:t>Dane sygnalisty,</w:t>
            </w:r>
          </w:p>
          <w:p>
            <w:pPr>
              <w:pStyle w:val="Zawartotabeli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4"/>
                <w:szCs w:val="14"/>
              </w:rPr>
              <w:t>adres do kontaktu sygnalisty/ anonim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DDDDD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4"/>
                <w:szCs w:val="14"/>
              </w:rPr>
              <w:t>Przedmiot  naruszenia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DDDDD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4"/>
                <w:szCs w:val="14"/>
              </w:rPr>
              <w:t>dane osobowe osoby/komórki organizacyjnej/jednostki niezbędne do ich identyfikacji,</w:t>
            </w:r>
          </w:p>
          <w:p>
            <w:pPr>
              <w:pStyle w:val="Zawartotabeli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4"/>
                <w:szCs w:val="14"/>
              </w:rPr>
              <w:t>których dotyczy zgłoszenie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DDDDD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4"/>
                <w:szCs w:val="14"/>
              </w:rPr>
              <w:t>Data potwierdzenia przyjęcia zgłoszenia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DDDDD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4"/>
                <w:szCs w:val="14"/>
              </w:rPr>
              <w:t>Data przekazania informacji zwrotnej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DDDDD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trike/>
                <w:color w:val="000000"/>
                <w:sz w:val="14"/>
                <w:szCs w:val="1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4"/>
                <w:szCs w:val="14"/>
              </w:rPr>
              <w:t>Informacja o podjętych działaniach następczych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DDD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4"/>
                <w:szCs w:val="14"/>
              </w:rPr>
              <w:t>Data zakończenia sprawy</w:t>
            </w:r>
          </w:p>
        </w:tc>
      </w:tr>
      <w:tr>
        <w:trPr>
          <w:trHeight w:val="492" w:hRule="atLeast"/>
        </w:trPr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6</w:t>
            </w:r>
            <w:r>
              <w:rPr>
                <w:rStyle w:val="Zakotwiczenieprzypisudolnego"/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footnoteReference w:id="20"/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7</w:t>
            </w:r>
            <w:r>
              <w:rPr>
                <w:rStyle w:val="Zakotwiczenieprzypisudolnego"/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footnoteReference w:id="21"/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9</w:t>
            </w:r>
          </w:p>
        </w:tc>
      </w:tr>
      <w:tr>
        <w:trPr>
          <w:trHeight w:val="492" w:hRule="atLeast"/>
        </w:trPr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21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2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2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14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</w:tr>
      <w:tr>
        <w:trPr>
          <w:trHeight w:val="492" w:hRule="atLeast"/>
        </w:trPr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21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2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2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14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</w:tr>
      <w:tr>
        <w:trPr>
          <w:trHeight w:val="492" w:hRule="atLeast"/>
        </w:trPr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21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2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2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14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</w:tr>
    </w:tbl>
    <w:p>
      <w:pPr>
        <w:sectPr>
          <w:headerReference w:type="default" r:id="rId9"/>
          <w:headerReference w:type="first" r:id="rId10"/>
          <w:footerReference w:type="default" r:id="rId11"/>
          <w:footerReference w:type="first" r:id="rId12"/>
          <w:footnotePr>
            <w:numFmt w:val="decimal"/>
          </w:footnotePr>
          <w:type w:val="nextPage"/>
          <w:pgSz w:orient="landscape" w:w="16838" w:h="11906"/>
          <w:pgMar w:left="1134" w:right="708" w:gutter="0" w:header="0" w:top="1134" w:footer="708" w:bottom="1134"/>
          <w:pgNumType w:fmt="decimal"/>
          <w:formProt w:val="false"/>
          <w:textDirection w:val="lrTb"/>
          <w:docGrid w:type="default" w:linePitch="299" w:charSpace="20480"/>
        </w:sectPr>
      </w:pPr>
    </w:p>
    <w:p>
      <w:pPr>
        <w:pStyle w:val="Normal"/>
        <w:tabs>
          <w:tab w:val="clear" w:pos="720"/>
          <w:tab w:val="left" w:pos="1467" w:leader="none"/>
        </w:tabs>
        <w:rPr>
          <w:rFonts w:ascii="Calibri" w:hAnsi="Calibri" w:cs="Calibri" w:asciiTheme="minorHAnsi" w:cstheme="minorHAnsi" w:hAnsiTheme="minorHAnsi"/>
          <w:color w:val="000000"/>
          <w:sz w:val="28"/>
        </w:rPr>
      </w:pPr>
      <w:r>
        <w:rPr>
          <w:rFonts w:cs="Calibri" w:cstheme="minorHAnsi" w:ascii="Calibri" w:hAnsi="Calibri"/>
          <w:color w:val="000000"/>
          <w:sz w:val="28"/>
        </w:rPr>
      </w:r>
    </w:p>
    <w:p>
      <w:pPr>
        <w:pStyle w:val="Normal"/>
        <w:jc w:val="right"/>
        <w:rPr>
          <w:rStyle w:val="Domylnaczcionkaakapitu1"/>
          <w:rFonts w:ascii="Calibri" w:hAnsi="Calibri" w:eastAsia="NSimSun" w:cs="Calibri" w:asciiTheme="minorHAnsi" w:cstheme="minorHAnsi" w:hAnsiTheme="minorHAnsi"/>
          <w:b/>
          <w:kern w:val="2"/>
          <w:sz w:val="21"/>
          <w:szCs w:val="21"/>
          <w:lang w:eastAsia="zh-CN" w:bidi="hi-IN"/>
        </w:rPr>
      </w:pPr>
      <w:r>
        <w:rPr>
          <w:rStyle w:val="Domylnaczcionkaakapitu1"/>
          <w:rFonts w:eastAsia="NSimSun" w:cs="Calibri" w:ascii="Calibri" w:hAnsi="Calibri" w:asciiTheme="minorHAnsi" w:cstheme="minorHAnsi" w:hAnsiTheme="minorHAnsi"/>
          <w:b/>
          <w:kern w:val="2"/>
          <w:sz w:val="21"/>
          <w:szCs w:val="21"/>
          <w:lang w:eastAsia="zh-CN" w:bidi="hi-IN"/>
        </w:rPr>
        <w:t xml:space="preserve">Załącznik nr 3 do </w:t>
      </w:r>
    </w:p>
    <w:p>
      <w:pPr>
        <w:pStyle w:val="UMTytu2"/>
        <w:spacing w:before="0" w:after="0"/>
        <w:jc w:val="right"/>
        <w:rPr>
          <w:rStyle w:val="Domylnaczcionkaakapitu1"/>
          <w:rFonts w:ascii="Calibri" w:hAnsi="Calibri" w:cs="Calibri" w:asciiTheme="minorHAnsi" w:cstheme="minorHAnsi" w:hAnsiTheme="minorHAnsi"/>
          <w:b w:val="false"/>
          <w:color w:val="000000"/>
          <w:sz w:val="21"/>
          <w:szCs w:val="21"/>
        </w:rPr>
      </w:pPr>
      <w:r>
        <w:rPr>
          <w:rStyle w:val="Domylnaczcionkaakapitu1"/>
          <w:rFonts w:cs="Calibri" w:ascii="Calibri" w:hAnsi="Calibri" w:asciiTheme="minorHAnsi" w:cstheme="minorHAnsi" w:hAnsiTheme="minorHAnsi"/>
          <w:b w:val="false"/>
          <w:color w:val="000000"/>
          <w:sz w:val="21"/>
          <w:szCs w:val="21"/>
        </w:rPr>
        <w:t>wewnętrznej procedury dokonywania zgłoszeń naruszeń prawa</w:t>
      </w:r>
    </w:p>
    <w:p>
      <w:pPr>
        <w:pStyle w:val="Normal"/>
        <w:jc w:val="right"/>
        <w:rPr>
          <w:rStyle w:val="Domylnaczcionkaakapitu1"/>
          <w:rFonts w:ascii="Calibri" w:hAnsi="Calibri" w:eastAsia="NSimSun" w:cs="Calibri" w:asciiTheme="minorHAnsi" w:cstheme="minorHAnsi" w:hAnsiTheme="minorHAnsi"/>
          <w:color w:val="000000"/>
          <w:kern w:val="2"/>
          <w:sz w:val="21"/>
          <w:szCs w:val="21"/>
          <w:lang w:eastAsia="zh-CN" w:bidi="hi-IN"/>
        </w:rPr>
      </w:pPr>
      <w:r>
        <w:rPr>
          <w:rStyle w:val="Domylnaczcionkaakapitu1"/>
          <w:rFonts w:eastAsia="NSimSun" w:cs="Calibri" w:ascii="Calibri" w:hAnsi="Calibri" w:asciiTheme="minorHAnsi" w:cstheme="minorHAnsi" w:hAnsiTheme="minorHAnsi"/>
          <w:color w:val="000000"/>
          <w:kern w:val="2"/>
          <w:sz w:val="21"/>
          <w:szCs w:val="21"/>
          <w:lang w:eastAsia="zh-CN" w:bidi="hi-IN"/>
        </w:rPr>
        <w:t>i podejmowania działań następczych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color w:val="000000"/>
        </w:rPr>
      </w:pPr>
      <w:r>
        <w:rPr>
          <w:rFonts w:cs="Calibri" w:cstheme="minorHAnsi" w:ascii="Calibri" w:hAnsi="Calibri"/>
          <w:b/>
          <w:color w:val="000000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color w:val="000000"/>
        </w:rPr>
      </w:pPr>
      <w:r>
        <w:rPr>
          <w:rFonts w:cs="Calibri" w:ascii="Calibri" w:hAnsi="Calibri" w:asciiTheme="minorHAnsi" w:cstheme="minorHAnsi" w:hAnsiTheme="minorHAnsi"/>
          <w:b/>
          <w:color w:val="000000"/>
        </w:rPr>
        <w:t>KLAUZULA INFORMACYJNA – WZÓR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Normal"/>
        <w:ind w:firstLine="36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Wypełniając obowiązek informacyjny wynikający z art. 13 ust. 1 i 2 ogólnego rozporządzenia o ochronie danych osobowych nr 2016/679 (dalej zwane RODO), informujemy Panią/Pana o sposobie i celu, w jakim przetwarzamy Pani/Pana dane osobowe, a także o przysługujących Pani/Panu prawach, wynikających z regulacji o ochronie danych osobowych: </w:t>
      </w:r>
    </w:p>
    <w:p>
      <w:pPr>
        <w:pStyle w:val="ListParagraph"/>
        <w:numPr>
          <w:ilvl w:val="0"/>
          <w:numId w:val="39"/>
        </w:numPr>
        <w:tabs>
          <w:tab w:val="clear" w:pos="720"/>
          <w:tab w:val="left" w:pos="709" w:leader="none"/>
        </w:tabs>
        <w:spacing w:before="240" w:after="120"/>
        <w:ind w:left="709" w:hanging="283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Pani/Pana dane osobowe gromadzić będzie ………………..; dane adresowe: …………………………………………..., który jest administratorem danych osobowych.    </w:t>
      </w:r>
    </w:p>
    <w:p>
      <w:pPr>
        <w:pStyle w:val="ListParagraph"/>
        <w:numPr>
          <w:ilvl w:val="0"/>
          <w:numId w:val="39"/>
        </w:numPr>
        <w:tabs>
          <w:tab w:val="clear" w:pos="720"/>
          <w:tab w:val="left" w:pos="567" w:leader="none"/>
        </w:tabs>
        <w:ind w:left="426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Administrator wyznaczył Inspektora ochrony danych, z którym można się skontaktować w następujący sposób:</w:t>
      </w:r>
    </w:p>
    <w:p>
      <w:pPr>
        <w:pStyle w:val="ListParagraph"/>
        <w:numPr>
          <w:ilvl w:val="1"/>
          <w:numId w:val="3"/>
        </w:numPr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za pośrednictwem poczty elektronicznej: e-mail: </w:t>
      </w:r>
      <w:r>
        <w:rPr>
          <w:rStyle w:val="Czeinternetowe"/>
          <w:rFonts w:cs="Calibri" w:ascii="Calibri" w:hAnsi="Calibri" w:asciiTheme="minorHAnsi" w:cstheme="minorHAnsi" w:hAnsiTheme="minorHAnsi"/>
          <w:color w:val="000000"/>
          <w:u w:val="none"/>
        </w:rPr>
        <w:t>………………….;</w:t>
      </w:r>
    </w:p>
    <w:p>
      <w:pPr>
        <w:pStyle w:val="ListParagraph"/>
        <w:numPr>
          <w:ilvl w:val="1"/>
          <w:numId w:val="3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listownie na adres siedziby Administratora wskazany powyżej;</w:t>
      </w:r>
    </w:p>
    <w:p>
      <w:pPr>
        <w:pStyle w:val="ListParagraph"/>
        <w:numPr>
          <w:ilvl w:val="1"/>
          <w:numId w:val="3"/>
        </w:numPr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lub telefonicznie pod numerem: ………………………</w:t>
      </w:r>
    </w:p>
    <w:p>
      <w:pPr>
        <w:pStyle w:val="ListParagraph"/>
        <w:spacing w:before="120" w:after="0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Z Inspektorem ochrony danych można się kontaktować we wszystkich sprawach dotyczących przetwarzania Pani/Pana danych osobowych oraz korzystania z praw związanych z przetwarzaniem danych. </w:t>
      </w:r>
    </w:p>
    <w:p>
      <w:pPr>
        <w:pStyle w:val="ListParagraph"/>
        <w:numPr>
          <w:ilvl w:val="0"/>
          <w:numId w:val="40"/>
        </w:numPr>
        <w:spacing w:before="12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Pani/Pana dane osobowe przetwarzane będą w celach przyjęcia zgłoszenia naruszenia prawa, przekazywania informacji zwrotnych oraz podejmowania działań następczych. </w:t>
      </w:r>
    </w:p>
    <w:p>
      <w:pPr>
        <w:pStyle w:val="ListParagraph"/>
        <w:spacing w:before="120" w:after="0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Podstawą prawną przetwarzania danych osobowych jest niezbędność wypełnienia obowiązku prawnego ciążącego na Administratorze, w myśl postanowień art. 6 ust. 1 lit. c RODO, w zw. z przepisami Ustawy z dnia 14 czerwca 2024 o ochronie sygnalistów. </w:t>
      </w:r>
    </w:p>
    <w:p>
      <w:pPr>
        <w:pStyle w:val="ListParagraph"/>
        <w:spacing w:before="120" w:after="0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Jeżeli zgłoszenie będzie zawierało dane szczególnej kategorii będziemy je przetwarzali w związku z niezbędnością ze względów związanych z ważnym interesem publicznym, na podstawie prawa, w oparciu o postanowienia art. 9 ust. 2 lit. g RODO. </w:t>
      </w:r>
    </w:p>
    <w:p>
      <w:pPr>
        <w:pStyle w:val="ListParagraph"/>
        <w:spacing w:before="120" w:after="0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Jeśli nie zdecyduje się Pani/Pan na zachowanie anonimowości informacje dot. Pani/Pana tożsamości będą również przetwarzane w oparciu o dobrowolnie wyrażoną zgodę na postawie art. 6 ust. 1 lit. a RODO. Zgodę na ujawnienie swojej tożsamości można wycofać w dowolnym momencie, niemniej jednak nie będzie to miało wpływu na zgodność z prawem przetwarzania, którego dokonano przed jej cofnięciem.</w:t>
      </w:r>
    </w:p>
    <w:p>
      <w:pPr>
        <w:pStyle w:val="ListParagraph"/>
        <w:numPr>
          <w:ilvl w:val="0"/>
          <w:numId w:val="40"/>
        </w:numPr>
        <w:spacing w:before="12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Administrator zapewnia poufność Pani/Pana danych, w związku z otrzymanym zgłoszeniem. W związku z tym udostępnione dane osobowe mogą zostać ujawnione jedynie podmiotom i organom uprawnionym do tego na podstawie przepisów prawa. Odbiorcami mogą być również podmioty wspierające Administratora w realizacji zadań, w tym zapewniające asystę i wsparcie techniczne dla użytkowanych w Urzędzie/Starostwie systemów informatycznych przy czym zakres przekazania danych ograniczony jest wyłącznie do możliwości przechowywania tych danych. </w:t>
      </w:r>
    </w:p>
    <w:p>
      <w:pPr>
        <w:pStyle w:val="ListParagraph"/>
        <w:spacing w:before="120" w:after="0"/>
        <w:ind w:left="720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Ponadto odbiorcami mogą być:</w:t>
      </w:r>
    </w:p>
    <w:p>
      <w:pPr>
        <w:pStyle w:val="ListParagraph"/>
        <w:numPr>
          <w:ilvl w:val="2"/>
          <w:numId w:val="1"/>
        </w:numPr>
        <w:spacing w:before="120" w:after="0"/>
        <w:ind w:left="993" w:hanging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jeżeli w zgłoszeniu zostanie podany adres do korespondencji:</w:t>
      </w:r>
    </w:p>
    <w:p>
      <w:pPr>
        <w:pStyle w:val="ListParagraph"/>
        <w:numPr>
          <w:ilvl w:val="0"/>
          <w:numId w:val="41"/>
        </w:numPr>
        <w:spacing w:before="120" w:after="0"/>
        <w:ind w:left="1134" w:hanging="283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tradycyjnej – odbiorcami będą podmioty uprawnione do obsługi doręczeń takie jak Poczta Polska. </w:t>
      </w:r>
    </w:p>
    <w:p>
      <w:pPr>
        <w:pStyle w:val="ListParagraph"/>
        <w:numPr>
          <w:ilvl w:val="0"/>
          <w:numId w:val="41"/>
        </w:numPr>
        <w:spacing w:before="120" w:after="0"/>
        <w:ind w:left="1134" w:hanging="283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elektronicznej – odbiorcą będzie podmiot …………. serwisujący i/lub utrzymujący system poczty elektronicznej</w:t>
      </w:r>
    </w:p>
    <w:p>
      <w:pPr>
        <w:pStyle w:val="ListParagraph"/>
        <w:numPr>
          <w:ilvl w:val="2"/>
          <w:numId w:val="1"/>
        </w:numPr>
        <w:spacing w:before="120" w:after="0"/>
        <w:ind w:left="993" w:hanging="284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jeśli Urząd/Starostwo powierzył/o przyjmowanie zgłoszeń zewnętrznemu podmiotowi odbiorcą będzie podmiot …………. upoważniony  do przyjmowania zgłoszeń wewnętrznych i przekazywania informacji zwrotnej.</w:t>
      </w:r>
    </w:p>
    <w:p>
      <w:pPr>
        <w:pStyle w:val="UMTrescpunktu"/>
        <w:numPr>
          <w:ilvl w:val="0"/>
          <w:numId w:val="40"/>
        </w:numPr>
        <w:spacing w:before="120" w:after="60"/>
        <w:ind w:left="714" w:hanging="360"/>
        <w:jc w:val="both"/>
        <w:rPr>
          <w:rFonts w:ascii="Calibri" w:hAnsi="Calibri" w:cs="Calibri" w:asciiTheme="minorHAnsi" w:cstheme="minorHAnsi" w:hAnsiTheme="minorHAnsi"/>
          <w:color w:val="000000"/>
          <w:szCs w:val="22"/>
        </w:rPr>
      </w:pPr>
      <w:r>
        <w:rPr>
          <w:rFonts w:cs="Calibri" w:ascii="Calibri" w:hAnsi="Calibri" w:asciiTheme="minorHAnsi" w:cstheme="minorHAnsi" w:hAnsiTheme="minorHAnsi"/>
          <w:color w:val="000000"/>
          <w:szCs w:val="22"/>
        </w:rPr>
        <w:t xml:space="preserve">Pani/Pana dane osobowe będą przetwarzane od momentu przyjęcia zgłoszenia do zakończenia działań następczych, a następnie dane będą przechowywane przez okres 3 lat po zakończeniu roku kalendarzowego, w którym zakończono działania następcze lub po zakończeniu postępowań zainicjowanych tymi działaniami. </w:t>
      </w:r>
    </w:p>
    <w:p>
      <w:pPr>
        <w:pStyle w:val="UMTrescpunktu"/>
        <w:numPr>
          <w:ilvl w:val="0"/>
          <w:numId w:val="0"/>
        </w:numPr>
        <w:spacing w:before="120" w:after="60"/>
        <w:ind w:left="714" w:hanging="0"/>
        <w:jc w:val="both"/>
        <w:rPr>
          <w:rFonts w:ascii="Calibri" w:hAnsi="Calibri" w:cs="Calibri" w:asciiTheme="minorHAnsi" w:cstheme="minorHAnsi" w:hAnsiTheme="minorHAnsi"/>
          <w:color w:val="000000"/>
          <w:szCs w:val="22"/>
        </w:rPr>
      </w:pPr>
      <w:r>
        <w:rPr>
          <w:rFonts w:cs="Calibri" w:ascii="Calibri" w:hAnsi="Calibri" w:asciiTheme="minorHAnsi" w:cstheme="minorHAnsi" w:hAnsiTheme="minorHAnsi"/>
          <w:color w:val="000000"/>
          <w:szCs w:val="22"/>
        </w:rPr>
        <w:t>Dane osobowe, które nie będą mieć znaczenia dla rozpatrywania zgłoszenia zostaną usunięte w terminie 14 dni od chwili ustalenia, iż są zbędne.</w:t>
      </w:r>
    </w:p>
    <w:p>
      <w:pPr>
        <w:pStyle w:val="UMTrescpunktu"/>
        <w:numPr>
          <w:ilvl w:val="0"/>
          <w:numId w:val="40"/>
        </w:numPr>
        <w:spacing w:before="120" w:after="60"/>
        <w:ind w:left="714" w:hanging="360"/>
        <w:jc w:val="both"/>
        <w:rPr>
          <w:rFonts w:ascii="Calibri" w:hAnsi="Calibri" w:cs="Calibri" w:asciiTheme="minorHAnsi" w:cstheme="minorHAnsi" w:hAnsiTheme="minorHAnsi"/>
          <w:color w:val="000000"/>
          <w:szCs w:val="22"/>
        </w:rPr>
      </w:pPr>
      <w:r>
        <w:rPr>
          <w:rFonts w:cs="Calibri" w:ascii="Calibri" w:hAnsi="Calibri" w:asciiTheme="minorHAnsi" w:cstheme="minorHAnsi" w:hAnsiTheme="minorHAnsi"/>
          <w:color w:val="000000"/>
          <w:szCs w:val="22"/>
        </w:rPr>
        <w:t>Na zasadach określonych przepisami RODO przysługuje Pani/Panu prawo do:</w:t>
      </w:r>
    </w:p>
    <w:p>
      <w:pPr>
        <w:pStyle w:val="UMTrescpunktu"/>
        <w:numPr>
          <w:ilvl w:val="0"/>
          <w:numId w:val="42"/>
        </w:numPr>
        <w:spacing w:before="120" w:after="6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  <w:szCs w:val="22"/>
        </w:rPr>
        <w:t xml:space="preserve">żądania od Administratora </w:t>
      </w:r>
      <w:r>
        <w:rPr>
          <w:rFonts w:cs="Calibri" w:ascii="Calibri" w:hAnsi="Calibri" w:asciiTheme="minorHAnsi" w:cstheme="minorHAnsi" w:hAnsiTheme="minorHAnsi"/>
          <w:color w:val="000000"/>
        </w:rPr>
        <w:t>dostępu do treści swoich danych osobowych (prześlemy wtedy kopię danych, jakie posiadamy)</w:t>
      </w:r>
    </w:p>
    <w:p>
      <w:pPr>
        <w:pStyle w:val="UMTrescpunktu"/>
        <w:numPr>
          <w:ilvl w:val="0"/>
          <w:numId w:val="42"/>
        </w:numPr>
        <w:spacing w:before="120" w:after="60"/>
        <w:jc w:val="both"/>
        <w:rPr>
          <w:rFonts w:ascii="Calibri" w:hAnsi="Calibri" w:cs="Calibri" w:asciiTheme="minorHAnsi" w:cstheme="minorHAnsi" w:hAnsiTheme="minorHAnsi"/>
          <w:color w:val="000000"/>
          <w:szCs w:val="22"/>
        </w:rPr>
      </w:pPr>
      <w:r>
        <w:rPr>
          <w:rFonts w:cs="Calibri" w:ascii="Calibri" w:hAnsi="Calibri" w:asciiTheme="minorHAnsi" w:cstheme="minorHAnsi" w:hAnsiTheme="minorHAnsi"/>
          <w:color w:val="000000"/>
        </w:rPr>
        <w:t>sprostowania (poprawiania) swoich danych osobowych (jeżeli uważa Pani/Pan, że dane są niepełne lub nieprawdziwe, prosimy o kontakt celem ich uzupełnienia lub sprostowania,</w:t>
      </w:r>
    </w:p>
    <w:p>
      <w:pPr>
        <w:pStyle w:val="ListParagraph"/>
        <w:spacing w:before="120" w:after="0"/>
        <w:ind w:left="714" w:hanging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Zawsze może Pani/Pan wycofać zgodę na ujawnienie Pani/Pana tożsamości, a na czas rozpatrywania żądania poprosić o ograniczenie przetwarzania danych.</w:t>
      </w:r>
    </w:p>
    <w:p>
      <w:pPr>
        <w:pStyle w:val="UMTrescpunktu"/>
        <w:numPr>
          <w:ilvl w:val="0"/>
          <w:numId w:val="43"/>
        </w:numPr>
        <w:rPr>
          <w:rFonts w:ascii="Calibri" w:hAnsi="Calibri" w:cs="Calibri" w:asciiTheme="minorHAnsi" w:cstheme="minorHAnsi" w:hAnsiTheme="minorHAnsi"/>
          <w:color w:val="000000"/>
          <w:szCs w:val="22"/>
        </w:rPr>
      </w:pPr>
      <w:r>
        <w:rPr>
          <w:rFonts w:cs="Calibri" w:ascii="Calibri" w:hAnsi="Calibri" w:asciiTheme="minorHAnsi" w:cstheme="minorHAnsi" w:hAnsiTheme="minorHAnsi"/>
          <w:color w:val="000000"/>
          <w:szCs w:val="22"/>
        </w:rPr>
        <w:t xml:space="preserve">Jeżeli uważa Pani/Pan, że przetwarzając dane osobowe naruszyliśmy przepisy o ochronie danych osobowych może Pani/Pan wnieść skargę do organu nadzorczego, którym jest Prezes Urzędu Ochrony Danych Osobowych. </w:t>
      </w:r>
    </w:p>
    <w:p>
      <w:pPr>
        <w:pStyle w:val="UMTrescpunktu"/>
        <w:numPr>
          <w:ilvl w:val="0"/>
          <w:numId w:val="43"/>
        </w:numPr>
        <w:rPr>
          <w:rFonts w:ascii="Calibri" w:hAnsi="Calibri" w:cs="Calibri" w:asciiTheme="minorHAnsi" w:cstheme="minorHAnsi" w:hAnsiTheme="minorHAnsi"/>
          <w:color w:val="000000"/>
          <w:szCs w:val="22"/>
        </w:rPr>
      </w:pPr>
      <w:r>
        <w:rPr>
          <w:rFonts w:cs="Calibri" w:ascii="Calibri" w:hAnsi="Calibri" w:asciiTheme="minorHAnsi" w:cstheme="minorHAnsi" w:hAnsiTheme="minorHAnsi"/>
          <w:color w:val="000000"/>
          <w:szCs w:val="22"/>
        </w:rPr>
        <w:t>Podanie danych przez sygnalistę:</w:t>
      </w:r>
    </w:p>
    <w:p>
      <w:pPr>
        <w:pStyle w:val="ListParagraph"/>
        <w:numPr>
          <w:ilvl w:val="0"/>
          <w:numId w:val="44"/>
        </w:numPr>
        <w:spacing w:before="120" w:after="0"/>
        <w:ind w:left="1560" w:hanging="426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w przypadku danych identyfikujących, jest niezbędne do realizacji obowiązków prawnych wynikających z przepisów Ustawy o ochronie sygnalistów. Brak podania informacji dot. tożsamości uniemożliwia objęcie Pani/Pana ochroną wynikającą z przepisów Ustawy o ochronie sygnalistów.</w:t>
      </w:r>
    </w:p>
    <w:p>
      <w:pPr>
        <w:pStyle w:val="ListParagraph"/>
        <w:numPr>
          <w:ilvl w:val="0"/>
          <w:numId w:val="44"/>
        </w:numPr>
        <w:spacing w:before="120" w:after="0"/>
        <w:ind w:left="1560" w:hanging="426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w przypadku danych korespondencyjnych, jest konieczne do realizacji obowiązków ustawowych w zakresie udzielania informacji sygnaliście.</w:t>
      </w:r>
    </w:p>
    <w:p>
      <w:pPr>
        <w:pStyle w:val="ListParagraph"/>
        <w:numPr>
          <w:ilvl w:val="0"/>
          <w:numId w:val="44"/>
        </w:numPr>
        <w:spacing w:before="120" w:after="0"/>
        <w:ind w:left="1560" w:hanging="426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w przypadku ewentualnego wyrażenia zgody na ujawnienie Pani/Pana tożsamości, jest dobrowolne.</w:t>
      </w:r>
    </w:p>
    <w:sectPr>
      <w:headerReference w:type="default" r:id="rId13"/>
      <w:headerReference w:type="first" r:id="rId14"/>
      <w:footerReference w:type="default" r:id="rId15"/>
      <w:footerReference w:type="first" r:id="rId16"/>
      <w:footnotePr>
        <w:numFmt w:val="decimal"/>
      </w:footnotePr>
      <w:type w:val="nextPage"/>
      <w:pgSz w:w="11906" w:h="16838"/>
      <w:pgMar w:left="1134" w:right="1134" w:gutter="0" w:header="0" w:top="708" w:footer="708" w:bottom="1134"/>
      <w:pgNumType w:fmt="decimal"/>
      <w:formProt w:val="false"/>
      <w:textDirection w:val="lrTb"/>
      <w:docGrid w:type="default" w:linePitch="299" w:charSpace="2048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fldChar w:fldCharType="begin"/>
    </w:r>
    <w:r>
      <w:rPr>
        <w:sz w:val="21"/>
        <w:szCs w:val="21"/>
        <w:rFonts w:ascii="Arial" w:hAnsi="Arial"/>
      </w:rPr>
      <w:instrText xml:space="preserve"> PAGE </w:instrText>
    </w:r>
    <w:r>
      <w:rPr>
        <w:sz w:val="21"/>
        <w:szCs w:val="21"/>
        <w:rFonts w:ascii="Arial" w:hAnsi="Arial"/>
      </w:rPr>
      <w:fldChar w:fldCharType="separate"/>
    </w:r>
    <w:r>
      <w:rPr>
        <w:sz w:val="21"/>
        <w:szCs w:val="21"/>
        <w:rFonts w:ascii="Arial" w:hAnsi="Arial"/>
      </w:rPr>
      <w:t>15</w:t>
    </w:r>
    <w:r>
      <w:rPr>
        <w:sz w:val="21"/>
        <w:szCs w:val="21"/>
        <w:rFonts w:ascii="Arial" w:hAnsi="Arial"/>
      </w:rPr>
      <w:fldChar w:fldCharType="end"/>
    </w:r>
    <w:r>
      <w:rPr>
        <w:rFonts w:ascii="Arial" w:hAnsi="Arial"/>
        <w:sz w:val="21"/>
        <w:szCs w:val="21"/>
      </w:rPr>
      <w:t xml:space="preserve"> </w:t>
    </w:r>
    <w:r>
      <w:rPr>
        <w:rFonts w:ascii="Arial" w:hAnsi="Arial"/>
        <w:sz w:val="21"/>
        <w:szCs w:val="21"/>
      </w:rPr>
      <w:t xml:space="preserve">z </w:t>
    </w:r>
    <w:r>
      <w:rPr>
        <w:rFonts w:ascii="Arial" w:hAnsi="Arial"/>
        <w:sz w:val="21"/>
        <w:szCs w:val="21"/>
      </w:rPr>
      <w:fldChar w:fldCharType="begin"/>
    </w:r>
    <w:r>
      <w:rPr>
        <w:sz w:val="21"/>
        <w:szCs w:val="21"/>
        <w:rFonts w:ascii="Arial" w:hAnsi="Arial"/>
      </w:rPr>
      <w:instrText xml:space="preserve"> NUMPAGES </w:instrText>
    </w:r>
    <w:r>
      <w:rPr>
        <w:sz w:val="21"/>
        <w:szCs w:val="21"/>
        <w:rFonts w:ascii="Arial" w:hAnsi="Arial"/>
      </w:rPr>
      <w:fldChar w:fldCharType="separate"/>
    </w:r>
    <w:r>
      <w:rPr>
        <w:sz w:val="21"/>
        <w:szCs w:val="21"/>
        <w:rFonts w:ascii="Arial" w:hAnsi="Arial"/>
      </w:rPr>
      <w:t>18</w:t>
    </w:r>
    <w:r>
      <w:rPr>
        <w:sz w:val="21"/>
        <w:szCs w:val="21"/>
        <w:rFonts w:ascii="Arial" w:hAnsi="Arial"/>
      </w:rP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>
        <w:rFonts w:ascii="Arial" w:hAnsi="Arial"/>
        <w:sz w:val="21"/>
        <w:szCs w:val="21"/>
      </w:rPr>
      <w:fldChar w:fldCharType="begin"/>
    </w:r>
    <w:r>
      <w:rPr>
        <w:sz w:val="21"/>
        <w:szCs w:val="21"/>
        <w:rFonts w:ascii="Arial" w:hAnsi="Arial"/>
      </w:rPr>
      <w:instrText xml:space="preserve"> PAGE </w:instrText>
    </w:r>
    <w:r>
      <w:rPr>
        <w:sz w:val="21"/>
        <w:szCs w:val="21"/>
        <w:rFonts w:ascii="Arial" w:hAnsi="Arial"/>
      </w:rPr>
      <w:fldChar w:fldCharType="separate"/>
    </w:r>
    <w:r>
      <w:rPr>
        <w:sz w:val="21"/>
        <w:szCs w:val="21"/>
        <w:rFonts w:ascii="Arial" w:hAnsi="Arial"/>
      </w:rPr>
      <w:t>16</w:t>
    </w:r>
    <w:r>
      <w:rPr>
        <w:sz w:val="21"/>
        <w:szCs w:val="21"/>
        <w:rFonts w:ascii="Arial" w:hAnsi="Arial"/>
      </w:rPr>
      <w:fldChar w:fldCharType="end"/>
    </w:r>
    <w:r>
      <w:rPr>
        <w:rFonts w:ascii="Arial" w:hAnsi="Arial"/>
        <w:sz w:val="21"/>
        <w:szCs w:val="21"/>
      </w:rPr>
      <w:t xml:space="preserve"> </w:t>
    </w:r>
    <w:r>
      <w:rPr>
        <w:rFonts w:ascii="Arial" w:hAnsi="Arial"/>
        <w:sz w:val="21"/>
        <w:szCs w:val="21"/>
      </w:rPr>
      <w:t xml:space="preserve">z </w:t>
    </w:r>
    <w:r>
      <w:rPr>
        <w:rFonts w:ascii="Arial" w:hAnsi="Arial"/>
        <w:sz w:val="21"/>
        <w:szCs w:val="21"/>
      </w:rPr>
      <w:fldChar w:fldCharType="begin"/>
    </w:r>
    <w:r>
      <w:rPr>
        <w:sz w:val="21"/>
        <w:szCs w:val="21"/>
        <w:rFonts w:ascii="Arial" w:hAnsi="Arial"/>
      </w:rPr>
      <w:instrText xml:space="preserve"> NUMPAGES </w:instrText>
    </w:r>
    <w:r>
      <w:rPr>
        <w:sz w:val="21"/>
        <w:szCs w:val="21"/>
        <w:rFonts w:ascii="Arial" w:hAnsi="Arial"/>
      </w:rPr>
      <w:fldChar w:fldCharType="separate"/>
    </w:r>
    <w:r>
      <w:rPr>
        <w:sz w:val="21"/>
        <w:szCs w:val="21"/>
        <w:rFonts w:ascii="Arial" w:hAnsi="Arial"/>
      </w:rPr>
      <w:t>18</w:t>
    </w:r>
    <w:r>
      <w:rPr>
        <w:sz w:val="21"/>
        <w:szCs w:val="21"/>
        <w:rFonts w:ascii="Arial" w:hAnsi="Arial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>
        <w:rFonts w:ascii="Arial" w:hAnsi="Arial"/>
        <w:sz w:val="21"/>
        <w:szCs w:val="21"/>
      </w:rPr>
      <w:fldChar w:fldCharType="begin"/>
    </w:r>
    <w:r>
      <w:rPr>
        <w:sz w:val="21"/>
        <w:szCs w:val="21"/>
        <w:rFonts w:ascii="Arial" w:hAnsi="Arial"/>
      </w:rPr>
      <w:instrText xml:space="preserve"> PAGE </w:instrText>
    </w:r>
    <w:r>
      <w:rPr>
        <w:sz w:val="21"/>
        <w:szCs w:val="21"/>
        <w:rFonts w:ascii="Arial" w:hAnsi="Arial"/>
      </w:rPr>
      <w:fldChar w:fldCharType="separate"/>
    </w:r>
    <w:r>
      <w:rPr>
        <w:sz w:val="21"/>
        <w:szCs w:val="21"/>
        <w:rFonts w:ascii="Arial" w:hAnsi="Arial"/>
      </w:rPr>
      <w:t>18</w:t>
    </w:r>
    <w:r>
      <w:rPr>
        <w:sz w:val="21"/>
        <w:szCs w:val="21"/>
        <w:rFonts w:ascii="Arial" w:hAnsi="Arial"/>
      </w:rPr>
      <w:fldChar w:fldCharType="end"/>
    </w:r>
    <w:r>
      <w:rPr>
        <w:rFonts w:ascii="Arial" w:hAnsi="Arial"/>
        <w:sz w:val="21"/>
        <w:szCs w:val="21"/>
      </w:rPr>
      <w:t xml:space="preserve"> </w:t>
    </w:r>
    <w:r>
      <w:rPr>
        <w:rFonts w:ascii="Arial" w:hAnsi="Arial"/>
        <w:sz w:val="21"/>
        <w:szCs w:val="21"/>
      </w:rPr>
      <w:t xml:space="preserve">z </w:t>
    </w:r>
    <w:r>
      <w:rPr>
        <w:rFonts w:ascii="Arial" w:hAnsi="Arial"/>
        <w:sz w:val="21"/>
        <w:szCs w:val="21"/>
      </w:rPr>
      <w:fldChar w:fldCharType="begin"/>
    </w:r>
    <w:r>
      <w:rPr>
        <w:sz w:val="21"/>
        <w:szCs w:val="21"/>
        <w:rFonts w:ascii="Arial" w:hAnsi="Arial"/>
      </w:rPr>
      <w:instrText xml:space="preserve"> NUMPAGES </w:instrText>
    </w:r>
    <w:r>
      <w:rPr>
        <w:sz w:val="21"/>
        <w:szCs w:val="21"/>
        <w:rFonts w:ascii="Arial" w:hAnsi="Arial"/>
      </w:rPr>
      <w:fldChar w:fldCharType="separate"/>
    </w:r>
    <w:r>
      <w:rPr>
        <w:sz w:val="21"/>
        <w:szCs w:val="21"/>
        <w:rFonts w:ascii="Arial" w:hAnsi="Arial"/>
      </w:rPr>
      <w:t>18</w:t>
    </w:r>
    <w:r>
      <w:rPr>
        <w:sz w:val="21"/>
        <w:szCs w:val="21"/>
        <w:rFonts w:ascii="Arial" w:hAnsi="Arial"/>
      </w:rPr>
      <w:fldChar w:fldCharType="end"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Propozycja ust. 2. jest fakultatywna dla tych, którzy chcą mieć pisemne potwierdzenie skutecznego zakomunikowania pracownikom procedury</w:t>
      </w:r>
    </w:p>
  </w:footnote>
  <w:footnote w:id="3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Propozycja kursywą jest fakultatywna</w:t>
      </w:r>
    </w:p>
  </w:footnote>
  <w:footnote w:id="4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 xml:space="preserve">Zaproponowane tytuły mają charakter porządkowy i są fakultatywne. </w:t>
      </w:r>
    </w:p>
  </w:footnote>
  <w:footnote w:id="5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Co do zasady definicji ustawowych nie powinno przenosić się do regulacji wewnętrznych. Niemniej jednak jeżeli jednostki uznają, że jest to konieczne w celu zapewnienia przejrzystości regulacji, to można posłużyć się przygotowanym wzorem.</w:t>
      </w:r>
    </w:p>
  </w:footnote>
  <w:footnote w:id="6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Propozycja fakultatywna wyłącznie w celach edukacyjnych, mająca skonkretyzować sygnalistę. Jest to katalog ustawowy i co do zasady nie powinno się go przenosić do regulacji wewnętrznych. Jeżeli jednostki uznają, że jest to konieczne, to można posłużyć się przygotowanym wzorem.</w:t>
      </w:r>
    </w:p>
  </w:footnote>
  <w:footnote w:id="7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Propozycja fakultatywna wyłącznie w celach edukacyjnych. Jest to katalog ustawowy i co do zasady nie powinno się go przenosić do regulacji wewnętrznych. Jeżeli jednostki uznają, że jest to konieczne, to można posłużyć się przygotowanym wzorem.</w:t>
      </w:r>
    </w:p>
  </w:footnote>
  <w:footnote w:id="8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Ust. 2 fakultatywny może być rozszerzony o inne regulacje wewnętrzne.</w:t>
      </w:r>
    </w:p>
  </w:footnote>
  <w:footnote w:id="9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Role i odpowiedzialności można fakultatywnie ograniczyć do ust. 2, 3, 4 pkt 3, 3.</w:t>
      </w:r>
    </w:p>
  </w:footnote>
  <w:footnote w:id="10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Należy pamiętać, że skonkretyzowanie tej „roli” będzie miało wpływ na określenie w pozostałych paragrafach, gdzie powoływany jest § 4 ust. 4 pkt 3</w:t>
      </w:r>
    </w:p>
  </w:footnote>
  <w:footnote w:id="11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Ust. 3 należy uwzględnić w procedurze, jeśli nie będziemy rozszerzać ról i odpowiedzialności zapisanych w ust.1i 4 pkt 1,2,4,5. Jeśli uwzględnimy role określone w ust. 1 i 4 pkt 1,2,4,5 to zaproponowany ust. 3 jest niezasadny.</w:t>
      </w:r>
    </w:p>
  </w:footnote>
  <w:footnote w:id="12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Zaproponowane kanały zgłoszeń zawierają wszystkie możliwe formy przewidziane ustawą. Każda jednostka indywidualnie musi określić te kanały, które jej zdaniem są możliwe do wprowadzenia i są wystarczające dla niej oraz dokonać adekwatnych zabezpieczeń tych kanałów.</w:t>
      </w:r>
    </w:p>
  </w:footnote>
  <w:footnote w:id="13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Numer telefonu jest wymagany w przypadku wybrania poczty elektronicznej jako adresu kontaktowego.</w:t>
      </w:r>
    </w:p>
  </w:footnote>
  <w:footnote w:id="14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Ust. 3 jest propozycją fakultatywną dla tych jednostek, które chcą wystawić „zgłoszenie nieprawidłowości” jako usługę w BIP lub też chcą, aby zgłoszenia były w określonym „formularzu zgłoszeń”. Ust. 3 nie jest obowiązkowy.</w:t>
      </w:r>
    </w:p>
  </w:footnote>
  <w:footnote w:id="15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Propozycja zapisu § 9 fakultatywna. Ujęcie jej w procedurze stanowić będzie informację, że zgłoszenia w tym zakresie będą rozpatrywane w trybach regulowanych przez te procedury; katalog tych procedur może być szerszy.</w:t>
      </w:r>
    </w:p>
  </w:footnote>
  <w:footnote w:id="16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Jest to propozycja fakultatywna, bowiem w zależności od podejścia jst mogą dopuścić rozpatrywanie zgłoszeń anonimowych.</w:t>
      </w:r>
    </w:p>
  </w:footnote>
  <w:footnote w:id="17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 xml:space="preserve">Propozycja fakultatywna </w:t>
      </w:r>
    </w:p>
  </w:footnote>
  <w:footnote w:id="18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Przepis mówiący o obowiązku poinformowania o zasada</w:t>
      </w:r>
      <w:r>
        <w:rPr>
          <w:sz w:val="20"/>
          <w:szCs w:val="20"/>
        </w:rPr>
        <w:t>ch zgłaszania „zgłoszeń zewnętrznym” wchodzi w życie 25 grudnia 2024 r. i należy pamiętać, że procedurę należy uzupełnić o przedmiotowe informacje, a co się z tym wiąże trzeba będzie zachować tryb konsultacji w terminach określonych ustawą. Można</w:t>
      </w:r>
      <w:r>
        <w:rPr>
          <w:b w:val="false"/>
          <w:strike w:val="false"/>
          <w:dstrike w:val="false"/>
          <w:sz w:val="20"/>
          <w:szCs w:val="20"/>
          <w:u w:val="none"/>
        </w:rPr>
        <w:t xml:space="preserve"> podlinkować strony z informacjami nt. zgłoszeń zewnętrznych do: Rzecznika Praw Obywatelskich, rady gminy X, wójt/burmistrza/prezydenta miasta X</w:t>
      </w:r>
    </w:p>
  </w:footnote>
  <w:footnote w:id="19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Przepis fakultatywny.</w:t>
      </w:r>
    </w:p>
  </w:footnote>
  <w:footnote w:id="20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Propozycja fakultatywna, ustawa nie nakazuje zawarcia informacji nt. potwierdzenia przyjęcia zgłoszenia; ma służyć jednie do monitorowania realizacji zgłoszenia</w:t>
      </w:r>
    </w:p>
  </w:footnote>
  <w:footnote w:id="21">
    <w:p>
      <w:pPr>
        <w:pStyle w:val="Przypisdolny"/>
        <w:rPr/>
      </w:pPr>
      <w:r>
        <w:rPr>
          <w:rStyle w:val="Znakiprzypiswdolnych"/>
        </w:rPr>
        <w:footnoteRef/>
      </w:r>
      <w:r>
        <w:rPr/>
        <w:tab/>
        <w:t>Propozycja fakultatywna, ustawa nie nakazuje zawarcia informacji nt. Daty przekazania informacji zwrotnej; ma służyć jednie do monitorowania realizacji zgłoszenia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-732155</wp:posOffset>
          </wp:positionH>
          <wp:positionV relativeFrom="paragraph">
            <wp:posOffset>-556260</wp:posOffset>
          </wp:positionV>
          <wp:extent cx="7552690" cy="1691005"/>
          <wp:effectExtent l="0" t="0" r="0" b="0"/>
          <wp:wrapNone/>
          <wp:docPr id="1" name="Obraz 159804785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9804785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6910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Gwka"/>
      <w:rPr/>
    </w:pPr>
    <w:r>
      <w:rPr/>
    </w:r>
  </w:p>
  <w:p>
    <w:pPr>
      <w:pStyle w:val="Gwka"/>
      <w:rPr/>
    </w:pPr>
    <w:r>
      <w:rPr/>
    </w:r>
  </w:p>
  <w:p>
    <w:pPr>
      <w:pStyle w:val="Gwka"/>
      <w:rPr/>
    </w:pPr>
    <w:r>
      <w:rPr/>
    </w:r>
  </w:p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lowerLetter"/>
      <w:lvlText w:val="%3)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1.%2."/>
      <w:lvlJc w:val="center"/>
      <w:pPr>
        <w:tabs>
          <w:tab w:val="num" w:pos="0"/>
        </w:tabs>
        <w:ind w:left="0" w:hanging="0"/>
      </w:pPr>
      <w:rPr>
        <w:b w:val="false"/>
        <w:bCs w:val="false"/>
        <w:rFonts w:ascii="Arial" w:hAnsi="Arial" w:cs="Arial"/>
        <w:color w:val="auto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sz w:val="24"/>
        <w:i w:val="false"/>
        <w:szCs w:val="24"/>
        <w:iCs w:val="false"/>
        <w:rFonts w:ascii="Arial" w:hAnsi="Arial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sz w:val="24"/>
        <w:i w:val="false"/>
        <w:szCs w:val="24"/>
        <w:iCs w:val="false"/>
        <w:rFonts w:ascii="Arial" w:hAnsi="Arial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sz w:val="24"/>
        <w:i w:val="false"/>
        <w:szCs w:val="24"/>
        <w:iCs w:val="false"/>
        <w:rFonts w:ascii="Arial" w:hAnsi="Arial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sz w:val="24"/>
        <w:i w:val="false"/>
        <w:szCs w:val="24"/>
        <w:iCs w:val="false"/>
        <w:rFonts w:ascii="Arial" w:hAnsi="Arial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sz w:val="24"/>
        <w:i w:val="false"/>
        <w:szCs w:val="24"/>
        <w:iCs w:val="false"/>
        <w:rFonts w:ascii="Arial" w:hAnsi="Arial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sz w:val="24"/>
        <w:i w:val="false"/>
        <w:szCs w:val="24"/>
        <w:iCs w:val="false"/>
        <w:rFonts w:ascii="Arial" w:hAnsi="Arial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sz w:val="24"/>
        <w:i w:val="false"/>
        <w:szCs w:val="24"/>
        <w:iCs w:val="false"/>
        <w:rFonts w:ascii="Arial" w:hAnsi="Arial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sz w:val="24"/>
        <w:i w:val="false"/>
        <w:szCs w:val="24"/>
        <w:iCs w:val="false"/>
        <w:rFonts w:ascii="Arial" w:hAnsi="Arial"/>
      </w:r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  <w:i w:val="false"/>
        <w:szCs w:val="24"/>
        <w:iCs w:val="fals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sz w:val="24"/>
        <w:i w:val="false"/>
        <w:szCs w:val="24"/>
        <w:iCs w:val="false"/>
        <w:rFonts w:ascii="Arial" w:hAnsi="Aria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>
        <w:sz w:val="24"/>
        <w:i w:val="false"/>
        <w:szCs w:val="24"/>
        <w:iCs w:val="false"/>
        <w:rFonts w:ascii="Arial" w:hAnsi="Arial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00" w:hanging="360"/>
      </w:pPr>
      <w:rPr>
        <w:sz w:val="24"/>
        <w:i w:val="false"/>
        <w:szCs w:val="24"/>
        <w:iCs w:val="false"/>
        <w:rFonts w:ascii="Arial" w:hAnsi="Arial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160" w:hanging="360"/>
      </w:pPr>
      <w:rPr>
        <w:sz w:val="24"/>
        <w:i w:val="false"/>
        <w:szCs w:val="24"/>
        <w:iCs w:val="false"/>
        <w:rFonts w:ascii="Arial" w:hAnsi="Arial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2520" w:hanging="360"/>
      </w:pPr>
      <w:rPr>
        <w:sz w:val="24"/>
        <w:i w:val="false"/>
        <w:szCs w:val="24"/>
        <w:iCs w:val="false"/>
        <w:rFonts w:ascii="Arial" w:hAnsi="Arial"/>
      </w:rPr>
    </w:lvl>
    <w:lvl w:ilvl="6">
      <w:start w:val="1"/>
      <w:numFmt w:val="lowerLetter"/>
      <w:lvlText w:val="%7)"/>
      <w:lvlJc w:val="left"/>
      <w:pPr>
        <w:tabs>
          <w:tab w:val="num" w:pos="0"/>
        </w:tabs>
        <w:ind w:left="2880" w:hanging="360"/>
      </w:pPr>
      <w:rPr>
        <w:sz w:val="24"/>
        <w:i w:val="false"/>
        <w:szCs w:val="24"/>
        <w:iCs w:val="false"/>
        <w:rFonts w:ascii="Arial" w:hAnsi="Aria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>
        <w:sz w:val="24"/>
        <w:i w:val="false"/>
        <w:szCs w:val="24"/>
        <w:iCs w:val="false"/>
        <w:rFonts w:ascii="Arial" w:hAnsi="Arial"/>
      </w:rPr>
    </w:lvl>
    <w:lvl w:ilvl="8">
      <w:start w:val="1"/>
      <w:numFmt w:val="lowerLetter"/>
      <w:lvlText w:val="%9)"/>
      <w:lvlJc w:val="left"/>
      <w:pPr>
        <w:tabs>
          <w:tab w:val="num" w:pos="0"/>
        </w:tabs>
        <w:ind w:left="3600" w:hanging="360"/>
      </w:pPr>
      <w:rPr>
        <w:sz w:val="24"/>
        <w:i w:val="false"/>
        <w:szCs w:val="24"/>
        <w:iCs w:val="false"/>
        <w:rFonts w:ascii="Arial" w:hAnsi="Arial"/>
      </w:rPr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  <w:i w:val="false"/>
        <w:szCs w:val="24"/>
        <w:iCs w:val="false"/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sz w:val="24"/>
        <w:i w:val="false"/>
        <w:szCs w:val="24"/>
        <w:iCs w:val="false"/>
        <w:rFonts w:ascii="Arial" w:hAnsi="Aria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>
        <w:sz w:val="24"/>
        <w:i w:val="false"/>
        <w:szCs w:val="24"/>
        <w:iCs w:val="false"/>
        <w:rFonts w:ascii="Arial" w:hAnsi="Arial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00" w:hanging="360"/>
      </w:pPr>
      <w:rPr>
        <w:sz w:val="24"/>
        <w:i w:val="false"/>
        <w:szCs w:val="24"/>
        <w:iCs w:val="false"/>
        <w:rFonts w:ascii="Arial" w:hAnsi="Arial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160" w:hanging="360"/>
      </w:pPr>
      <w:rPr>
        <w:sz w:val="24"/>
        <w:i w:val="false"/>
        <w:szCs w:val="24"/>
        <w:iCs w:val="false"/>
        <w:rFonts w:ascii="Arial" w:hAnsi="Arial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2520" w:hanging="360"/>
      </w:pPr>
      <w:rPr>
        <w:sz w:val="24"/>
        <w:i w:val="false"/>
        <w:szCs w:val="24"/>
        <w:iCs w:val="false"/>
        <w:rFonts w:ascii="Arial" w:hAnsi="Arial"/>
      </w:rPr>
    </w:lvl>
    <w:lvl w:ilvl="6">
      <w:start w:val="1"/>
      <w:numFmt w:val="lowerLetter"/>
      <w:lvlText w:val="%7)"/>
      <w:lvlJc w:val="left"/>
      <w:pPr>
        <w:tabs>
          <w:tab w:val="num" w:pos="0"/>
        </w:tabs>
        <w:ind w:left="2880" w:hanging="360"/>
      </w:pPr>
      <w:rPr>
        <w:sz w:val="24"/>
        <w:i w:val="false"/>
        <w:szCs w:val="24"/>
        <w:iCs w:val="false"/>
        <w:rFonts w:ascii="Arial" w:hAnsi="Aria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>
        <w:sz w:val="24"/>
        <w:i w:val="false"/>
        <w:szCs w:val="24"/>
        <w:iCs w:val="false"/>
        <w:rFonts w:ascii="Arial" w:hAnsi="Arial"/>
      </w:rPr>
    </w:lvl>
    <w:lvl w:ilvl="8">
      <w:start w:val="1"/>
      <w:numFmt w:val="lowerLetter"/>
      <w:lvlText w:val="%9)"/>
      <w:lvlJc w:val="left"/>
      <w:pPr>
        <w:tabs>
          <w:tab w:val="num" w:pos="0"/>
        </w:tabs>
        <w:ind w:left="3600" w:hanging="360"/>
      </w:pPr>
      <w:rPr>
        <w:sz w:val="24"/>
        <w:i w:val="false"/>
        <w:szCs w:val="24"/>
        <w:iCs w:val="false"/>
        <w:rFonts w:ascii="Arial" w:hAnsi="Arial"/>
      </w:rPr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  <w:i w:val="false"/>
        <w:szCs w:val="24"/>
        <w:iCs w:val="false"/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sz w:val="24"/>
        <w:i w:val="false"/>
        <w:szCs w:val="24"/>
        <w:iCs w:val="false"/>
        <w:rFonts w:ascii="Arial" w:hAnsi="Aria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>
        <w:sz w:val="24"/>
        <w:i w:val="false"/>
        <w:szCs w:val="24"/>
        <w:iCs w:val="false"/>
        <w:rFonts w:ascii="Arial" w:hAnsi="Arial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00" w:hanging="360"/>
      </w:pPr>
      <w:rPr>
        <w:sz w:val="24"/>
        <w:i w:val="false"/>
        <w:szCs w:val="24"/>
        <w:iCs w:val="false"/>
        <w:rFonts w:ascii="Arial" w:hAnsi="Arial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160" w:hanging="360"/>
      </w:pPr>
      <w:rPr>
        <w:sz w:val="24"/>
        <w:i w:val="false"/>
        <w:szCs w:val="24"/>
        <w:iCs w:val="false"/>
        <w:rFonts w:ascii="Arial" w:hAnsi="Arial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2520" w:hanging="360"/>
      </w:pPr>
      <w:rPr>
        <w:sz w:val="24"/>
        <w:i w:val="false"/>
        <w:szCs w:val="24"/>
        <w:iCs w:val="false"/>
        <w:rFonts w:ascii="Arial" w:hAnsi="Arial"/>
      </w:rPr>
    </w:lvl>
    <w:lvl w:ilvl="6">
      <w:start w:val="1"/>
      <w:numFmt w:val="lowerLetter"/>
      <w:lvlText w:val="%7)"/>
      <w:lvlJc w:val="left"/>
      <w:pPr>
        <w:tabs>
          <w:tab w:val="num" w:pos="0"/>
        </w:tabs>
        <w:ind w:left="2880" w:hanging="360"/>
      </w:pPr>
      <w:rPr>
        <w:sz w:val="24"/>
        <w:i w:val="false"/>
        <w:szCs w:val="24"/>
        <w:iCs w:val="false"/>
        <w:rFonts w:ascii="Arial" w:hAnsi="Aria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>
        <w:sz w:val="24"/>
        <w:i w:val="false"/>
        <w:szCs w:val="24"/>
        <w:iCs w:val="false"/>
        <w:rFonts w:ascii="Arial" w:hAnsi="Arial"/>
      </w:rPr>
    </w:lvl>
    <w:lvl w:ilvl="8">
      <w:start w:val="1"/>
      <w:numFmt w:val="lowerLetter"/>
      <w:lvlText w:val="%9)"/>
      <w:lvlJc w:val="left"/>
      <w:pPr>
        <w:tabs>
          <w:tab w:val="num" w:pos="0"/>
        </w:tabs>
        <w:ind w:left="3600" w:hanging="360"/>
      </w:pPr>
      <w:rPr>
        <w:sz w:val="24"/>
        <w:i w:val="false"/>
        <w:szCs w:val="24"/>
        <w:iCs w:val="false"/>
        <w:rFonts w:ascii="Arial" w:hAnsi="Arial"/>
      </w:rPr>
    </w:lvl>
  </w:abstractNum>
  <w:abstractNum w:abstractNumId="8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  <w:i w:val="false"/>
        <w:szCs w:val="24"/>
        <w:iCs w:val="false"/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sz w:val="24"/>
        <w:i w:val="false"/>
        <w:szCs w:val="24"/>
        <w:iCs w:val="false"/>
        <w:rFonts w:ascii="Arial" w:hAnsi="Aria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>
        <w:sz w:val="24"/>
        <w:i w:val="false"/>
        <w:szCs w:val="24"/>
        <w:iCs w:val="false"/>
        <w:rFonts w:ascii="Arial" w:hAnsi="Arial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00" w:hanging="360"/>
      </w:pPr>
      <w:rPr>
        <w:sz w:val="24"/>
        <w:i w:val="false"/>
        <w:szCs w:val="24"/>
        <w:iCs w:val="false"/>
        <w:rFonts w:ascii="Arial" w:hAnsi="Arial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160" w:hanging="360"/>
      </w:pPr>
      <w:rPr>
        <w:sz w:val="24"/>
        <w:i w:val="false"/>
        <w:szCs w:val="24"/>
        <w:iCs w:val="false"/>
        <w:rFonts w:ascii="Arial" w:hAnsi="Arial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2520" w:hanging="360"/>
      </w:pPr>
      <w:rPr>
        <w:sz w:val="24"/>
        <w:i w:val="false"/>
        <w:szCs w:val="24"/>
        <w:iCs w:val="false"/>
        <w:rFonts w:ascii="Arial" w:hAnsi="Arial"/>
      </w:rPr>
    </w:lvl>
    <w:lvl w:ilvl="6">
      <w:start w:val="1"/>
      <w:numFmt w:val="lowerLetter"/>
      <w:lvlText w:val="%7)"/>
      <w:lvlJc w:val="left"/>
      <w:pPr>
        <w:tabs>
          <w:tab w:val="num" w:pos="0"/>
        </w:tabs>
        <w:ind w:left="2880" w:hanging="360"/>
      </w:pPr>
      <w:rPr>
        <w:sz w:val="24"/>
        <w:i w:val="false"/>
        <w:szCs w:val="24"/>
        <w:iCs w:val="false"/>
        <w:rFonts w:ascii="Arial" w:hAnsi="Aria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>
        <w:sz w:val="24"/>
        <w:i w:val="false"/>
        <w:szCs w:val="24"/>
        <w:iCs w:val="false"/>
        <w:rFonts w:ascii="Arial" w:hAnsi="Arial"/>
      </w:rPr>
    </w:lvl>
    <w:lvl w:ilvl="8">
      <w:start w:val="1"/>
      <w:numFmt w:val="lowerLetter"/>
      <w:lvlText w:val="%9)"/>
      <w:lvlJc w:val="left"/>
      <w:pPr>
        <w:tabs>
          <w:tab w:val="num" w:pos="0"/>
        </w:tabs>
        <w:ind w:left="3600" w:hanging="360"/>
      </w:pPr>
      <w:rPr>
        <w:sz w:val="24"/>
        <w:i w:val="false"/>
        <w:szCs w:val="24"/>
        <w:iCs w:val="false"/>
        <w:rFonts w:ascii="Arial" w:hAnsi="Arial"/>
      </w:rPr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  <w:i w:val="false"/>
        <w:szCs w:val="24"/>
        <w:iCs w:val="false"/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sz w:val="24"/>
        <w:i w:val="false"/>
        <w:szCs w:val="24"/>
        <w:iCs w:val="false"/>
        <w:rFonts w:ascii="Arial" w:hAnsi="Aria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>
        <w:sz w:val="24"/>
        <w:i w:val="false"/>
        <w:szCs w:val="24"/>
        <w:iCs w:val="false"/>
        <w:rFonts w:ascii="Arial" w:hAnsi="Arial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00" w:hanging="360"/>
      </w:pPr>
      <w:rPr>
        <w:sz w:val="24"/>
        <w:i w:val="false"/>
        <w:szCs w:val="24"/>
        <w:iCs w:val="false"/>
        <w:rFonts w:ascii="Arial" w:hAnsi="Arial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160" w:hanging="360"/>
      </w:pPr>
      <w:rPr>
        <w:sz w:val="24"/>
        <w:i w:val="false"/>
        <w:szCs w:val="24"/>
        <w:iCs w:val="false"/>
        <w:rFonts w:ascii="Arial" w:hAnsi="Arial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2520" w:hanging="360"/>
      </w:pPr>
      <w:rPr>
        <w:sz w:val="24"/>
        <w:i w:val="false"/>
        <w:szCs w:val="24"/>
        <w:iCs w:val="false"/>
        <w:rFonts w:ascii="Arial" w:hAnsi="Arial"/>
      </w:rPr>
    </w:lvl>
    <w:lvl w:ilvl="6">
      <w:start w:val="1"/>
      <w:numFmt w:val="lowerLetter"/>
      <w:lvlText w:val="%7)"/>
      <w:lvlJc w:val="left"/>
      <w:pPr>
        <w:tabs>
          <w:tab w:val="num" w:pos="0"/>
        </w:tabs>
        <w:ind w:left="2880" w:hanging="360"/>
      </w:pPr>
      <w:rPr>
        <w:sz w:val="24"/>
        <w:i w:val="false"/>
        <w:szCs w:val="24"/>
        <w:iCs w:val="false"/>
        <w:rFonts w:ascii="Arial" w:hAnsi="Aria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>
        <w:sz w:val="24"/>
        <w:i w:val="false"/>
        <w:szCs w:val="24"/>
        <w:iCs w:val="false"/>
        <w:rFonts w:ascii="Arial" w:hAnsi="Arial"/>
      </w:rPr>
    </w:lvl>
    <w:lvl w:ilvl="8">
      <w:start w:val="1"/>
      <w:numFmt w:val="lowerLetter"/>
      <w:lvlText w:val="%9)"/>
      <w:lvlJc w:val="left"/>
      <w:pPr>
        <w:tabs>
          <w:tab w:val="num" w:pos="0"/>
        </w:tabs>
        <w:ind w:left="3600" w:hanging="360"/>
      </w:pPr>
      <w:rPr>
        <w:sz w:val="24"/>
        <w:i w:val="false"/>
        <w:szCs w:val="24"/>
        <w:iCs w:val="false"/>
        <w:rFonts w:ascii="Arial" w:hAnsi="Arial"/>
      </w:r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1.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0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0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0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0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0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0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0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0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0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0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0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0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0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0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lvl w:ilvl="0">
      <w:numFmt w:val="bullet"/>
      <w:lvlText w:val="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4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6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7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1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2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33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34"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start w:val="0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start w:val="0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6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000000"/>
      </w:rPr>
    </w:lvl>
  </w:abstractNum>
  <w:abstractNum w:abstractNumId="3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1.%2."/>
      <w:lvlJc w:val="center"/>
      <w:pPr>
        <w:tabs>
          <w:tab w:val="num" w:pos="0"/>
        </w:tabs>
        <w:ind w:left="0" w:hanging="0"/>
      </w:pPr>
      <w:rPr>
        <w:b w:val="false"/>
        <w:bCs w:val="false"/>
        <w:rFonts w:ascii="Arial" w:hAnsi="Arial" w:cs="Arial"/>
        <w:color w:val="auto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40"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4"/>
        <w:i w:val="false"/>
        <w:szCs w:val="24"/>
        <w:iCs w:val="fals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sz w:val="24"/>
        <w:i w:val="false"/>
        <w:szCs w:val="24"/>
        <w:iCs w:val="false"/>
        <w:rFonts w:ascii="Arial" w:hAnsi="Aria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>
        <w:sz w:val="24"/>
        <w:i w:val="false"/>
        <w:szCs w:val="24"/>
        <w:iCs w:val="false"/>
        <w:rFonts w:ascii="Arial" w:hAnsi="Arial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00" w:hanging="360"/>
      </w:pPr>
      <w:rPr>
        <w:sz w:val="24"/>
        <w:i w:val="false"/>
        <w:szCs w:val="24"/>
        <w:iCs w:val="false"/>
        <w:rFonts w:ascii="Arial" w:hAnsi="Arial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160" w:hanging="360"/>
      </w:pPr>
      <w:rPr>
        <w:sz w:val="24"/>
        <w:i w:val="false"/>
        <w:szCs w:val="24"/>
        <w:iCs w:val="false"/>
        <w:rFonts w:ascii="Arial" w:hAnsi="Arial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2520" w:hanging="360"/>
      </w:pPr>
      <w:rPr>
        <w:sz w:val="24"/>
        <w:i w:val="false"/>
        <w:szCs w:val="24"/>
        <w:iCs w:val="false"/>
        <w:rFonts w:ascii="Arial" w:hAnsi="Arial"/>
      </w:rPr>
    </w:lvl>
    <w:lvl w:ilvl="6">
      <w:start w:val="1"/>
      <w:numFmt w:val="lowerLetter"/>
      <w:lvlText w:val="%7)"/>
      <w:lvlJc w:val="left"/>
      <w:pPr>
        <w:tabs>
          <w:tab w:val="num" w:pos="0"/>
        </w:tabs>
        <w:ind w:left="2880" w:hanging="360"/>
      </w:pPr>
      <w:rPr>
        <w:sz w:val="24"/>
        <w:i w:val="false"/>
        <w:szCs w:val="24"/>
        <w:iCs w:val="false"/>
        <w:rFonts w:ascii="Arial" w:hAnsi="Aria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>
        <w:sz w:val="24"/>
        <w:i w:val="false"/>
        <w:szCs w:val="24"/>
        <w:iCs w:val="false"/>
        <w:rFonts w:ascii="Arial" w:hAnsi="Arial"/>
      </w:rPr>
    </w:lvl>
    <w:lvl w:ilvl="8">
      <w:start w:val="1"/>
      <w:numFmt w:val="lowerLetter"/>
      <w:lvlText w:val="%9)"/>
      <w:lvlJc w:val="left"/>
      <w:pPr>
        <w:tabs>
          <w:tab w:val="num" w:pos="0"/>
        </w:tabs>
        <w:ind w:left="3600" w:hanging="360"/>
      </w:pPr>
      <w:rPr>
        <w:sz w:val="24"/>
        <w:i w:val="false"/>
        <w:szCs w:val="24"/>
        <w:iCs w:val="false"/>
        <w:rFonts w:ascii="Arial" w:hAnsi="Arial"/>
      </w:rPr>
    </w:lvl>
  </w:abstractNum>
  <w:abstractNum w:abstractNumId="42">
    <w:lvl w:ilvl="0">
      <w:start w:val="1"/>
      <w:numFmt w:val="lowerLetter"/>
      <w:lvlText w:val="%1)"/>
      <w:lvlJc w:val="left"/>
      <w:pPr>
        <w:tabs>
          <w:tab w:val="num" w:pos="0"/>
        </w:tabs>
        <w:ind w:left="143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9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5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4" w:hanging="180"/>
      </w:pPr>
      <w:rPr/>
    </w:lvl>
  </w:abstractNum>
  <w:abstractNum w:abstractNumId="43">
    <w:lvl w:ilvl="0">
      <w:start w:val="7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3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4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  <w:i w:val="false"/>
        <w:szCs w:val="24"/>
        <w:iCs w:val="fals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sz w:val="24"/>
        <w:i w:val="false"/>
        <w:szCs w:val="24"/>
        <w:iCs w:val="false"/>
        <w:rFonts w:ascii="Arial" w:hAnsi="Aria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>
        <w:sz w:val="24"/>
        <w:i w:val="false"/>
        <w:szCs w:val="24"/>
        <w:iCs w:val="false"/>
        <w:rFonts w:ascii="Arial" w:hAnsi="Arial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00" w:hanging="360"/>
      </w:pPr>
      <w:rPr>
        <w:sz w:val="24"/>
        <w:i w:val="false"/>
        <w:szCs w:val="24"/>
        <w:iCs w:val="false"/>
        <w:rFonts w:ascii="Arial" w:hAnsi="Arial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160" w:hanging="360"/>
      </w:pPr>
      <w:rPr>
        <w:sz w:val="24"/>
        <w:i w:val="false"/>
        <w:szCs w:val="24"/>
        <w:iCs w:val="false"/>
        <w:rFonts w:ascii="Arial" w:hAnsi="Arial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2520" w:hanging="360"/>
      </w:pPr>
      <w:rPr>
        <w:sz w:val="24"/>
        <w:i w:val="false"/>
        <w:szCs w:val="24"/>
        <w:iCs w:val="false"/>
        <w:rFonts w:ascii="Arial" w:hAnsi="Arial"/>
      </w:rPr>
    </w:lvl>
    <w:lvl w:ilvl="6">
      <w:start w:val="1"/>
      <w:numFmt w:val="lowerLetter"/>
      <w:lvlText w:val="%7)"/>
      <w:lvlJc w:val="left"/>
      <w:pPr>
        <w:tabs>
          <w:tab w:val="num" w:pos="0"/>
        </w:tabs>
        <w:ind w:left="2880" w:hanging="360"/>
      </w:pPr>
      <w:rPr>
        <w:sz w:val="24"/>
        <w:i w:val="false"/>
        <w:szCs w:val="24"/>
        <w:iCs w:val="false"/>
        <w:rFonts w:ascii="Arial" w:hAnsi="Aria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>
        <w:sz w:val="24"/>
        <w:i w:val="false"/>
        <w:szCs w:val="24"/>
        <w:iCs w:val="false"/>
        <w:rFonts w:ascii="Arial" w:hAnsi="Arial"/>
      </w:rPr>
    </w:lvl>
    <w:lvl w:ilvl="8">
      <w:start w:val="1"/>
      <w:numFmt w:val="lowerLetter"/>
      <w:lvlText w:val="%9)"/>
      <w:lvlJc w:val="left"/>
      <w:pPr>
        <w:tabs>
          <w:tab w:val="num" w:pos="0"/>
        </w:tabs>
        <w:ind w:left="3600" w:hanging="360"/>
      </w:pPr>
      <w:rPr>
        <w:sz w:val="24"/>
        <w:i w:val="false"/>
        <w:szCs w:val="24"/>
        <w:iCs w:val="false"/>
        <w:rFonts w:ascii="Arial" w:hAnsi="Arial"/>
      </w:rPr>
    </w:lvl>
  </w:abstractNum>
  <w:abstractNum w:abstractNumId="45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46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47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48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49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50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51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52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53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54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55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56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z w:val="24"/>
        <w:i w:val="false"/>
        <w:szCs w:val="24"/>
        <w:iCs w:val="false"/>
        <w:rFonts w:ascii="Calibri" w:hAnsi="Calibri" w:cs="Calibri" w:asciiTheme="minorHAnsi" w:cstheme="minorHAnsi" w:hAnsiTheme="minorHAnsi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  <w:rPr>
        <w:rFonts w:ascii="Arial" w:hAnsi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  <w:rPr>
        <w:rFonts w:ascii="Arial" w:hAnsi="Arial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  <w:rPr>
        <w:rFonts w:ascii="Arial" w:hAnsi="Arial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  <w:rPr>
        <w:rFonts w:ascii="Arial" w:hAnsi="Aria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  <w:rPr>
        <w:rFonts w:ascii="Arial" w:hAnsi="Arial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  <w:rPr>
        <w:rFonts w:ascii="Arial" w:hAnsi="Arial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  <w:rPr>
        <w:rFonts w:ascii="Arial" w:hAnsi="Arial"/>
      </w:rPr>
    </w:lvl>
  </w:abstractNum>
  <w:abstractNum w:abstractNumId="57"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start w:val="0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start w:val="0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58"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start w:val="0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start w:val="0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59"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start w:val="0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start w:val="0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60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3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6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3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6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3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6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3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6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3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65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3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66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3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6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3"/>
  </w:num>
  <w:num w:numId="69">
    <w:abstractNumId w:val="3"/>
  </w:num>
  <w:num w:numId="70">
    <w:abstractNumId w:val="3"/>
  </w:num>
  <w:num w:numId="71">
    <w:abstractNumId w:val="3"/>
  </w:num>
  <w:num w:numId="72">
    <w:abstractNumId w:val="3"/>
  </w:num>
  <w:num w:numId="73">
    <w:abstractNumId w:val="3"/>
  </w:num>
  <w:num w:numId="74">
    <w:abstractNumId w:val="3"/>
  </w:num>
  <w:num w:numId="75">
    <w:abstractNumId w:val="3"/>
  </w:num>
  <w:num w:numId="76">
    <w:abstractNumId w:val="3"/>
  </w:num>
  <w:num w:numId="77">
    <w:abstractNumId w:val="3"/>
  </w:num>
  <w:num w:numId="78">
    <w:abstractNumId w:val="3"/>
  </w:num>
  <w:num w:numId="79">
    <w:abstractNumId w:val="3"/>
  </w:num>
  <w:num w:numId="80">
    <w:abstractNumId w:val="34"/>
  </w:num>
  <w:num w:numId="81">
    <w:abstractNumId w:val="34"/>
  </w:num>
  <w:num w:numId="82">
    <w:abstractNumId w:val="34"/>
  </w:num>
  <w:num w:numId="83">
    <w:abstractNumId w:val="60"/>
    <w:lvlOverride w:ilvl="0">
      <w:startOverride w:val="1"/>
    </w:lvlOverride>
  </w:num>
  <w:num w:numId="84">
    <w:abstractNumId w:val="60"/>
  </w:num>
  <w:num w:numId="85">
    <w:abstractNumId w:val="60"/>
  </w:num>
  <w:num w:numId="86">
    <w:abstractNumId w:val="60"/>
  </w:num>
  <w:num w:numId="87">
    <w:abstractNumId w:val="60"/>
  </w:num>
  <w:num w:numId="88">
    <w:abstractNumId w:val="60"/>
  </w:num>
  <w:num w:numId="89">
    <w:abstractNumId w:val="60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Standard"/>
    <w:next w:val="Standard"/>
    <w:link w:val="Nagwek1Znak"/>
    <w:qFormat/>
    <w:rsid w:val="00527a5a"/>
    <w:pPr>
      <w:keepNext w:val="true"/>
      <w:snapToGrid w:val="false"/>
      <w:spacing w:lineRule="auto" w:line="480"/>
      <w:outlineLvl w:val="0"/>
    </w:pPr>
    <w:rPr>
      <w:rFonts w:ascii="Arial" w:hAnsi="Arial" w:eastAsia="Arial"/>
    </w:rPr>
  </w:style>
  <w:style w:type="paragraph" w:styleId="Nagwek2">
    <w:name w:val="Heading 2"/>
    <w:basedOn w:val="Gwka"/>
    <w:next w:val="Tretekstu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Nagwek4">
    <w:name w:val="Heading 4"/>
    <w:basedOn w:val="Gwka"/>
    <w:next w:val="Tretekstu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Nagwek5">
    <w:name w:val="Heading 5"/>
    <w:basedOn w:val="Gwka"/>
    <w:next w:val="Tretekstu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qFormat/>
    <w:rPr>
      <w:rFonts w:ascii="Times New Roman" w:hAnsi="Times New Roman" w:eastAsia="Times New Roman" w:cs="Times New Roman"/>
      <w:lang w:val="pl-PL"/>
    </w:rPr>
  </w:style>
  <w:style w:type="character" w:styleId="StopkaZnak" w:customStyle="1">
    <w:name w:val="Stopka Znak"/>
    <w:basedOn w:val="DefaultParagraphFont"/>
    <w:uiPriority w:val="99"/>
    <w:qFormat/>
    <w:rPr>
      <w:rFonts w:ascii="Times New Roman" w:hAnsi="Times New Roman" w:eastAsia="Times New Roman" w:cs="Times New Roman"/>
      <w:lang w:val="pl-PL"/>
    </w:rPr>
  </w:style>
  <w:style w:type="character" w:styleId="Domylnaczcionkaakapitu1" w:customStyle="1">
    <w:name w:val="Domyślna czcionka akapitu1"/>
    <w:qFormat/>
    <w:rsid w:val="00527a5a"/>
    <w:rPr/>
  </w:style>
  <w:style w:type="character" w:styleId="Nagwek1Znak" w:customStyle="1">
    <w:name w:val="Nagłówek 1 Znak"/>
    <w:basedOn w:val="DefaultParagraphFont"/>
    <w:qFormat/>
    <w:rsid w:val="00527a5a"/>
    <w:rPr>
      <w:rFonts w:ascii="Arial" w:hAnsi="Arial" w:eastAsia="Arial" w:cs="Arial"/>
      <w:kern w:val="2"/>
      <w:sz w:val="24"/>
      <w:szCs w:val="24"/>
      <w:lang w:val="pl-PL" w:eastAsia="zh-CN" w:bidi="hi-IN"/>
    </w:rPr>
  </w:style>
  <w:style w:type="character" w:styleId="Uwydatnienie1" w:customStyle="1">
    <w:name w:val="Uwydatnienie1"/>
    <w:qFormat/>
    <w:rsid w:val="00527a5a"/>
    <w:rPr>
      <w:b/>
      <w:i/>
      <w:iCs/>
    </w:rPr>
  </w:style>
  <w:style w:type="character" w:styleId="Czeinternetowe">
    <w:name w:val="Hyperlink"/>
    <w:basedOn w:val="DefaultParagraphFont"/>
    <w:uiPriority w:val="99"/>
    <w:unhideWhenUsed/>
    <w:rsid w:val="00763f05"/>
    <w:rPr>
      <w:color w:val="0563C1" w:themeColor="hyperlink"/>
      <w:u w:val="single"/>
    </w:rPr>
  </w:style>
  <w:style w:type="character" w:styleId="Domylnaczcionkaakapitu2" w:customStyle="1">
    <w:name w:val="Domyślna czcionka akapitu2"/>
    <w:qFormat/>
    <w:rsid w:val="00527a5a"/>
    <w:rPr/>
  </w:style>
  <w:style w:type="character" w:styleId="Annotationreference">
    <w:name w:val="annotation reference"/>
    <w:basedOn w:val="DefaultParagraphFont"/>
    <w:qFormat/>
    <w:rsid w:val="00527a5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Pr>
      <w:rFonts w:ascii="Times New Roman" w:hAnsi="Times New Roman" w:eastAsia="Times New Roman"/>
      <w:sz w:val="20"/>
      <w:szCs w:val="20"/>
      <w:lang w:val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47b5c"/>
    <w:rPr>
      <w:rFonts w:ascii="Segoe UI" w:hAnsi="Segoe UI" w:eastAsia="Times New Roman" w:cs="Segoe UI"/>
      <w:sz w:val="18"/>
      <w:szCs w:val="18"/>
      <w:lang w:val="pl-PL"/>
    </w:rPr>
  </w:style>
  <w:style w:type="character" w:styleId="Znakinumeracji" w:customStyle="1">
    <w:name w:val="Znaki numeracji"/>
    <w:qFormat/>
    <w:rPr>
      <w:color w:val="000000"/>
    </w:rPr>
  </w:style>
  <w:style w:type="character" w:styleId="Znakiwypunktowania" w:customStyle="1">
    <w:name w:val="Znaki wypunktowania"/>
    <w:qFormat/>
    <w:rPr>
      <w:rFonts w:ascii="OpenSymbol" w:hAnsi="OpenSymbol" w:eastAsia="OpenSymbol" w:cs="OpenSymbol"/>
    </w:rPr>
  </w:style>
  <w:style w:type="character" w:styleId="Znakiprzypiswdolnych" w:customStyle="1">
    <w:name w:val="Znaki przypisów dolnych"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Znakiprzypiswkocowych" w:customStyle="1">
    <w:name w:val="Znaki przypisów końcowych"/>
    <w:qFormat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ytu">
    <w:name w:val="Title"/>
    <w:basedOn w:val="Normal"/>
    <w:qFormat/>
    <w:pPr>
      <w:ind w:left="106" w:hanging="0"/>
    </w:pPr>
    <w:rPr/>
  </w:style>
  <w:style w:type="paragraph" w:styleId="ListParagraph">
    <w:name w:val="List Paragraph"/>
    <w:basedOn w:val="Normal"/>
    <w:qFormat/>
    <w:pPr/>
    <w:rPr/>
  </w:style>
  <w:style w:type="paragraph" w:styleId="TableParagraph" w:customStyle="1">
    <w:name w:val="Table Paragraph"/>
    <w:basedOn w:val="Normal"/>
    <w:qFormat/>
    <w:pPr/>
    <w:rPr/>
  </w:style>
  <w:style w:type="paragraph" w:styleId="Stopka">
    <w:name w:val="Footer"/>
    <w:basedOn w:val="Normal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UMTretekstu" w:customStyle="1">
    <w:name w:val="UM_Treść tekstu"/>
    <w:basedOn w:val="Normal"/>
    <w:qFormat/>
    <w:rsid w:val="00527a5a"/>
    <w:pPr>
      <w:widowControl/>
      <w:suppressLineNumbers/>
      <w:spacing w:before="0" w:after="70"/>
      <w:ind w:firstLine="552"/>
      <w:jc w:val="both"/>
    </w:pPr>
    <w:rPr>
      <w:rFonts w:ascii="Liberation Serif" w:hAnsi="Liberation Serif" w:eastAsia="NSimSun" w:cs="Arial"/>
      <w:kern w:val="2"/>
      <w:sz w:val="21"/>
      <w:szCs w:val="24"/>
      <w:lang w:eastAsia="zh-CN" w:bidi="hi-IN"/>
    </w:rPr>
  </w:style>
  <w:style w:type="paragraph" w:styleId="UMTytu1" w:customStyle="1">
    <w:name w:val="UM_Tytuł_1"/>
    <w:basedOn w:val="Normal"/>
    <w:qFormat/>
    <w:rsid w:val="00527a5a"/>
    <w:pPr>
      <w:widowControl/>
      <w:spacing w:lineRule="auto" w:line="360" w:before="0" w:after="276"/>
      <w:jc w:val="center"/>
      <w:textAlignment w:val="center"/>
    </w:pPr>
    <w:rPr>
      <w:rFonts w:ascii="Liberation Serif" w:hAnsi="Liberation Serif" w:eastAsia="NSimSun" w:cs="Arial"/>
      <w:b/>
      <w:kern w:val="2"/>
      <w:sz w:val="24"/>
      <w:szCs w:val="24"/>
      <w:lang w:eastAsia="zh-CN" w:bidi="hi-IN"/>
    </w:rPr>
  </w:style>
  <w:style w:type="paragraph" w:styleId="UMTytu2" w:customStyle="1">
    <w:name w:val="UM_Tytuł_2"/>
    <w:basedOn w:val="UMTytu1"/>
    <w:qFormat/>
    <w:rsid w:val="00527a5a"/>
    <w:pPr>
      <w:spacing w:lineRule="auto" w:line="240"/>
      <w:jc w:val="both"/>
    </w:pPr>
    <w:rPr/>
  </w:style>
  <w:style w:type="paragraph" w:styleId="UMTresctekstu" w:customStyle="1">
    <w:name w:val="UM_Tresc tekstu"/>
    <w:basedOn w:val="Normal"/>
    <w:qFormat/>
    <w:rsid w:val="00527a5a"/>
    <w:pPr>
      <w:widowControl/>
      <w:suppressLineNumbers/>
      <w:spacing w:before="0" w:after="70"/>
      <w:ind w:firstLine="552"/>
    </w:pPr>
    <w:rPr>
      <w:rFonts w:ascii="Liberation Serif" w:hAnsi="Liberation Serif" w:eastAsia="NSimSun" w:cs="Arial"/>
      <w:kern w:val="2"/>
      <w:szCs w:val="24"/>
      <w:lang w:eastAsia="zh-CN" w:bidi="hi-IN"/>
    </w:rPr>
  </w:style>
  <w:style w:type="paragraph" w:styleId="UMnr" w:customStyle="1">
    <w:name w:val="UM_nr§"/>
    <w:basedOn w:val="Normal"/>
    <w:next w:val="Normal"/>
    <w:qFormat/>
    <w:rsid w:val="00527a5a"/>
    <w:pPr>
      <w:keepNext w:val="true"/>
      <w:widowControl/>
      <w:spacing w:lineRule="auto" w:line="276" w:before="138" w:after="138"/>
      <w:jc w:val="center"/>
    </w:pPr>
    <w:rPr>
      <w:rFonts w:ascii="Liberation Serif" w:hAnsi="Liberation Serif" w:eastAsia="NSimSun" w:cs="Arial"/>
      <w:kern w:val="2"/>
      <w:sz w:val="21"/>
      <w:szCs w:val="24"/>
      <w:lang w:eastAsia="zh-CN" w:bidi="hi-IN"/>
    </w:rPr>
  </w:style>
  <w:style w:type="paragraph" w:styleId="UMTrescpunktu" w:customStyle="1">
    <w:name w:val="UM_Tresc punktu"/>
    <w:basedOn w:val="UMTresctekstu"/>
    <w:qFormat/>
    <w:rsid w:val="00527a5a"/>
    <w:pPr>
      <w:numPr>
        <w:ilvl w:val="0"/>
        <w:numId w:val="2"/>
      </w:numPr>
      <w:spacing w:before="20" w:after="60"/>
    </w:pPr>
    <w:rPr/>
  </w:style>
  <w:style w:type="paragraph" w:styleId="Standard" w:customStyle="1">
    <w:name w:val="Standard"/>
    <w:qFormat/>
    <w:rsid w:val="00527a5a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527a5a"/>
    <w:pPr>
      <w:spacing w:lineRule="auto" w:line="276" w:before="0" w:after="140"/>
    </w:pPr>
    <w:rPr/>
  </w:style>
  <w:style w:type="paragraph" w:styleId="UMTrepunktu" w:customStyle="1">
    <w:name w:val="UM_Treść punktu"/>
    <w:basedOn w:val="UMTretekstu"/>
    <w:qFormat/>
    <w:rsid w:val="00527a5a"/>
    <w:pPr>
      <w:spacing w:before="0" w:after="60"/>
      <w:ind w:left="300" w:hanging="0"/>
    </w:pPr>
    <w:rPr/>
  </w:style>
  <w:style w:type="paragraph" w:styleId="UMTytul1" w:customStyle="1">
    <w:name w:val="UM_Tytul_1"/>
    <w:basedOn w:val="Textbody"/>
    <w:qFormat/>
    <w:rsid w:val="00527a5a"/>
    <w:pPr>
      <w:spacing w:before="360" w:after="360"/>
      <w:jc w:val="center"/>
    </w:pPr>
    <w:rPr>
      <w:b/>
      <w:sz w:val="28"/>
    </w:rPr>
  </w:style>
  <w:style w:type="paragraph" w:styleId="UMTytulpodrozdzialu" w:customStyle="1">
    <w:name w:val="UM_Tytul podrozdzialu"/>
    <w:basedOn w:val="Normal"/>
    <w:qFormat/>
    <w:rsid w:val="00527a5a"/>
    <w:pPr>
      <w:keepNext w:val="true"/>
      <w:widowControl/>
      <w:suppressLineNumbers/>
      <w:spacing w:before="200" w:after="0"/>
      <w:jc w:val="center"/>
      <w:textAlignment w:val="auto"/>
    </w:pPr>
    <w:rPr>
      <w:rFonts w:ascii="Arial" w:hAnsi="Arial" w:eastAsia="MS Mincho" w:cs="Tahoma"/>
      <w:b/>
      <w:bCs/>
      <w:kern w:val="2"/>
      <w:sz w:val="24"/>
      <w:szCs w:val="36"/>
      <w:lang w:eastAsia="zh-CN" w:bidi="hi-IN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pPr/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47b5c"/>
    <w:pPr/>
    <w:rPr>
      <w:rFonts w:ascii="Segoe UI" w:hAnsi="Segoe UI" w:cs="Segoe UI"/>
      <w:sz w:val="18"/>
      <w:szCs w:val="18"/>
    </w:rPr>
  </w:style>
  <w:style w:type="paragraph" w:styleId="Zawartotabeli" w:customStyle="1">
    <w:name w:val="Zawartość tabeli"/>
    <w:basedOn w:val="Standard"/>
    <w:qFormat/>
    <w:rsid w:val="00330634"/>
    <w:pPr>
      <w:suppressLineNumbers/>
    </w:pPr>
    <w:rPr/>
  </w:style>
  <w:style w:type="paragraph" w:styleId="Przypisdolny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paragraph" w:styleId="Revision">
    <w:name w:val="Revision"/>
    <w:uiPriority w:val="99"/>
    <w:semiHidden/>
    <w:qFormat/>
    <w:rsid w:val="00de3c91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  <w:rsid w:val="00527a5a"/>
  </w:style>
  <w:style w:type="numbering" w:styleId="WW8Num29" w:customStyle="1">
    <w:name w:val="WW8Num29"/>
    <w:qFormat/>
    <w:rsid w:val="00527a5a"/>
  </w:style>
  <w:style w:type="numbering" w:styleId="WW8Num33" w:customStyle="1">
    <w:name w:val="WW8Num33"/>
    <w:qFormat/>
    <w:rsid w:val="00527a5a"/>
  </w:style>
  <w:style w:type="numbering" w:styleId="WW8Num12" w:customStyle="1">
    <w:name w:val="WW8Num12"/>
    <w:qFormat/>
    <w:rsid w:val="00527a5a"/>
  </w:style>
  <w:style w:type="numbering" w:styleId="WW8Num13" w:customStyle="1">
    <w:name w:val="WW8Num13"/>
    <w:qFormat/>
    <w:rsid w:val="00527a5a"/>
  </w:style>
  <w:style w:type="numbering" w:styleId="WW8Num31" w:customStyle="1">
    <w:name w:val="WW8Num31"/>
    <w:qFormat/>
    <w:rsid w:val="00527a5a"/>
  </w:style>
  <w:style w:type="numbering" w:styleId="WW8Num14" w:customStyle="1">
    <w:name w:val="WW8Num14"/>
    <w:qFormat/>
    <w:rsid w:val="00527a5a"/>
  </w:style>
  <w:style w:type="numbering" w:styleId="WW8Num44" w:customStyle="1">
    <w:name w:val="WW8Num44"/>
    <w:qFormat/>
    <w:rsid w:val="00527a5a"/>
  </w:style>
  <w:style w:type="numbering" w:styleId="WW8Num41" w:customStyle="1">
    <w:name w:val="WW8Num41"/>
    <w:qFormat/>
    <w:rsid w:val="00527a5a"/>
  </w:style>
  <w:style w:type="numbering" w:styleId="WW8Num38" w:customStyle="1">
    <w:name w:val="WW8Num38"/>
    <w:qFormat/>
    <w:rsid w:val="00527a5a"/>
  </w:style>
  <w:style w:type="numbering" w:styleId="WW8Num42" w:customStyle="1">
    <w:name w:val="WW8Num42"/>
    <w:qFormat/>
    <w:rsid w:val="00527a5a"/>
  </w:style>
  <w:style w:type="numbering" w:styleId="WW8Num32" w:customStyle="1">
    <w:name w:val="WW8Num32"/>
    <w:qFormat/>
    <w:rsid w:val="00527a5a"/>
  </w:style>
  <w:style w:type="numbering" w:styleId="WW8Num39" w:customStyle="1">
    <w:name w:val="WW8Num39"/>
    <w:qFormat/>
    <w:rsid w:val="00527a5a"/>
  </w:style>
  <w:style w:type="numbering" w:styleId="WW8Num25" w:customStyle="1">
    <w:name w:val="WW8Num25"/>
    <w:qFormat/>
    <w:rsid w:val="00527a5a"/>
  </w:style>
  <w:style w:type="numbering" w:styleId="WW8Num26" w:customStyle="1">
    <w:name w:val="WW8Num26"/>
    <w:qFormat/>
    <w:rsid w:val="00527a5a"/>
  </w:style>
  <w:style w:type="numbering" w:styleId="WW8Num46" w:customStyle="1">
    <w:name w:val="WW8Num46"/>
    <w:qFormat/>
    <w:rsid w:val="00527a5a"/>
  </w:style>
  <w:style w:type="numbering" w:styleId="WW8Num36" w:customStyle="1">
    <w:name w:val="WW8Num36"/>
    <w:qFormat/>
    <w:rsid w:val="00527a5a"/>
  </w:style>
  <w:style w:type="numbering" w:styleId="WW8Num40" w:customStyle="1">
    <w:name w:val="WW8Num40"/>
    <w:qFormat/>
    <w:rsid w:val="00527a5a"/>
  </w:style>
  <w:style w:type="numbering" w:styleId="WW8Num37" w:customStyle="1">
    <w:name w:val="WW8Num37"/>
    <w:qFormat/>
    <w:rsid w:val="00527a5a"/>
  </w:style>
  <w:style w:type="numbering" w:styleId="WW8Num34" w:customStyle="1">
    <w:name w:val="WW8Num34"/>
    <w:qFormat/>
    <w:rsid w:val="00527a5a"/>
  </w:style>
  <w:style w:type="numbering" w:styleId="WW8Num27" w:customStyle="1">
    <w:name w:val="WW8Num27"/>
    <w:qFormat/>
    <w:rsid w:val="00527a5a"/>
  </w:style>
  <w:style w:type="numbering" w:styleId="WW8Num3" w:customStyle="1">
    <w:name w:val="WW8Num3"/>
    <w:qFormat/>
    <w:rsid w:val="00330634"/>
  </w:style>
  <w:style w:type="numbering" w:styleId="WW8Num4" w:customStyle="1">
    <w:name w:val="WW8Num4"/>
    <w:qFormat/>
    <w:rsid w:val="00330634"/>
  </w:style>
  <w:style w:type="numbering" w:styleId="WW8Num5" w:customStyle="1">
    <w:name w:val="WW8Num5"/>
    <w:qFormat/>
    <w:rsid w:val="00330634"/>
  </w:style>
  <w:style w:type="numbering" w:styleId="WW8Num6" w:customStyle="1">
    <w:name w:val="WW8Num6"/>
    <w:qFormat/>
    <w:rsid w:val="00330634"/>
  </w:style>
  <w:style w:type="numbering" w:styleId="WW8Num7" w:customStyle="1">
    <w:name w:val="WW8Num7"/>
    <w:qFormat/>
    <w:rsid w:val="00330634"/>
  </w:style>
  <w:style w:type="numbering" w:styleId="WW8Num8" w:customStyle="1">
    <w:name w:val="WW8Num8"/>
    <w:qFormat/>
    <w:rsid w:val="00330634"/>
  </w:style>
  <w:style w:type="numbering" w:styleId="WW8Num9" w:customStyle="1">
    <w:name w:val="WW8Num9"/>
    <w:qFormat/>
    <w:rsid w:val="00330634"/>
  </w:style>
  <w:style w:type="numbering" w:styleId="WW8Num47" w:customStyle="1">
    <w:name w:val="WW8Num47"/>
    <w:qFormat/>
    <w:rsid w:val="00330634"/>
  </w:style>
  <w:style w:type="numbering" w:styleId="WW8Num11" w:customStyle="1">
    <w:name w:val="WW8Num11"/>
    <w:qFormat/>
    <w:rsid w:val="00330634"/>
  </w:style>
  <w:style w:type="numbering" w:styleId="WW8Num35" w:customStyle="1">
    <w:name w:val="WW8Num35"/>
    <w:qFormat/>
    <w:rsid w:val="00330634"/>
  </w:style>
  <w:style w:type="numbering" w:styleId="WW8Num15" w:customStyle="1">
    <w:name w:val="WW8Num15"/>
    <w:qFormat/>
    <w:rsid w:val="00330634"/>
  </w:style>
  <w:style w:type="numbering" w:styleId="Numeracjaabc" w:customStyle="1">
    <w:name w:val="Numeracja abc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yperlink" Target="mailto:um@lublin.eu" TargetMode="External"/><Relationship Id="rId4" Type="http://schemas.openxmlformats.org/officeDocument/2006/relationships/hyperlink" Target="http://www./" TargetMode="External"/><Relationship Id="rId5" Type="http://schemas.openxmlformats.org/officeDocument/2006/relationships/hyperlink" Target="mailto:um@lublin.eu" TargetMode="Externa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oter" Target="footer1.xml"/><Relationship Id="rId9" Type="http://schemas.openxmlformats.org/officeDocument/2006/relationships/header" Target="header4.xml"/><Relationship Id="rId10" Type="http://schemas.openxmlformats.org/officeDocument/2006/relationships/header" Target="header5.xm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footer" Target="footer4.xml"/><Relationship Id="rId16" Type="http://schemas.openxmlformats.org/officeDocument/2006/relationships/footer" Target="footer5.xml"/><Relationship Id="rId17" Type="http://schemas.openxmlformats.org/officeDocument/2006/relationships/footnotes" Target="footnotes.xml"/><Relationship Id="rId18" Type="http://schemas.openxmlformats.org/officeDocument/2006/relationships/numbering" Target="numbering.xml"/><Relationship Id="rId19" Type="http://schemas.openxmlformats.org/officeDocument/2006/relationships/fontTable" Target="fontTable.xml"/><Relationship Id="rId20" Type="http://schemas.openxmlformats.org/officeDocument/2006/relationships/settings" Target="settings.xml"/><Relationship Id="rId21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LibreOffice/7.5.2.2$Windows_X86_64 LibreOffice_project/53bb9681a964705cf672590721dbc85eb4d0c3a2</Application>
  <AppVersion>15.0000</AppVersion>
  <Pages>18</Pages>
  <Words>4935</Words>
  <Characters>34463</Characters>
  <CharactersWithSpaces>39688</CharactersWithSpaces>
  <Paragraphs>383</Paragraphs>
  <Company>ŚZGiP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2024-09-05T13:11:00Z</dcterms:created>
  <dc:creator>pantkowiak@silesia.org.pl</dc:creator>
  <dc:description/>
  <dc:language>pl-PL</dc:language>
  <cp:lastModifiedBy/>
  <cp:lastPrinted>2024-07-17T07:59:00Z</cp:lastPrinted>
  <dcterms:modified xsi:type="dcterms:W3CDTF">2024-12-04T14:50:07Z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2020-09-04T00:00:00Z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2021-01-11T00:00:00Z</vt:filetime>
  </property>
</Properties>
</file>